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ptos" w:hAnsi="Aptos" w:eastAsia="Microsoft YaHei"/>
          <w:b/>
          <w:color w:val="17365D"/>
          <w:sz w:val="44"/>
        </w:rPr>
        <w:t>零部件设计智能体持续改进操作说明书</w:t>
      </w:r>
    </w:p>
    <w:p>
      <w:pPr>
        <w:spacing w:after="200"/>
        <w:jc w:val="center"/>
      </w:pPr>
      <w:r>
        <w:rPr>
          <w:rFonts w:ascii="Aptos" w:hAnsi="Aptos" w:eastAsia="Microsoft YaHei"/>
          <w:color w:val="505050"/>
          <w:sz w:val="20"/>
        </w:rPr>
        <w:t>技术维护与迭代升级用 | 日志取证、评测定位、辅助智能体归因、无代码修订与复测门禁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AAB7C4"/>
          <w:left w:val="single" w:sz="6" w:space="0" w:color="AAB7C4"/>
          <w:bottom w:val="single" w:sz="6" w:space="0" w:color="AAB7C4"/>
          <w:right w:val="single" w:sz="6" w:space="0" w:color="AAB7C4"/>
          <w:insideH w:val="single" w:sz="6" w:space="0" w:color="AAB7C4"/>
          <w:insideV w:val="single" w:sz="6" w:space="0" w:color="AAB7C4"/>
        </w:tblBorders>
      </w:tblPr>
      <w:tblGrid>
        <w:gridCol w:w="2862"/>
        <w:gridCol w:w="2862"/>
        <w:gridCol w:w="2862"/>
        <w:gridCol w:w="2862"/>
        <w:gridCol w:w="2862"/>
      </w:tblGrid>
      <w:tr>
        <w:tc>
          <w:tcPr>
            <w:tcW w:type="dxa" w:w="2862"/>
            <w:shd w:fill="EEF3F8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ptos" w:hAnsi="Aptos" w:eastAsia="Microsoft YaHei"/>
                <w:b/>
                <w:color w:val="1F2937"/>
                <w:sz w:val="17"/>
              </w:rPr>
              <w:t>文档类型</w:t>
              <w:br/>
              <w:t>维护操作手册</w:t>
            </w:r>
          </w:p>
        </w:tc>
        <w:tc>
          <w:tcPr>
            <w:tcW w:type="dxa" w:w="2862"/>
            <w:shd w:fill="EEF3F8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1F2937"/>
                <w:sz w:val="17"/>
              </w:rPr>
              <w:t>版本</w:t>
              <w:br/>
              <w:t>Mermaid截图版</w:t>
            </w:r>
          </w:p>
        </w:tc>
        <w:tc>
          <w:tcPr>
            <w:tcW w:type="dxa" w:w="2862"/>
            <w:shd w:fill="EEF3F8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1F2937"/>
                <w:sz w:val="17"/>
              </w:rPr>
              <w:t>适用对象</w:t>
              <w:br/>
              <w:t>技术维护人员 / 智能体迭代升级人员 / 评测负责人</w:t>
            </w:r>
          </w:p>
        </w:tc>
        <w:tc>
          <w:tcPr>
            <w:tcW w:type="dxa" w:w="2862"/>
            <w:shd w:fill="EEF3F8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1F2937"/>
                <w:sz w:val="17"/>
              </w:rPr>
              <w:t>依据</w:t>
              <w:br/>
              <w:t>现有评测工作台、运行日志、Agent/Skill/模板维护流程</w:t>
            </w:r>
          </w:p>
        </w:tc>
        <w:tc>
          <w:tcPr>
            <w:tcW w:type="dxa" w:w="2862"/>
            <w:shd w:fill="EEF3F8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1F2937"/>
                <w:sz w:val="17"/>
              </w:rPr>
              <w:t>生成日期</w:t>
              <w:br/>
              <w:t>2026-06-26</w:t>
            </w:r>
          </w:p>
        </w:tc>
      </w:tr>
    </w:tbl>
    <w:p>
      <w:pPr>
        <w:pStyle w:val="Heading1"/>
      </w:pPr>
      <w:r>
        <w:t>1. 使用边界</w:t>
      </w:r>
    </w:p>
    <w:p>
      <w:pPr>
        <w:pStyle w:val="BodyText"/>
        <w:spacing w:after="100" w:line="283" w:lineRule="auto"/>
      </w:pPr>
      <w:r>
        <w:rPr>
          <w:rFonts w:ascii="Aptos" w:hAnsi="Aptos" w:eastAsia="Microsoft YaHei"/>
          <w:color w:val="1F2937"/>
          <w:sz w:val="20"/>
        </w:rPr>
        <w:t>本文用于后续维护和迭代升级。常规改进不是直接改代码，而是由辅助智能体基于运行日志和评测指标进行证据提取、指标定位、失败归因、无代码修订建议和复测。只有日志明确证明 MCP、NX、Teamcenter、桥接协议或程序实现错误时，才升级为代码缺陷。</w:t>
      </w:r>
    </w:p>
    <w:p>
      <w:r>
        <w:br w:type="page"/>
      </w:r>
    </w:p>
    <w:p>
      <w:pPr>
        <w:pStyle w:val="Heading3"/>
      </w:pPr>
      <w:r>
        <w:t>持续改进闭环图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810470" cy="576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provement_loop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10470" cy="57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A5A5A"/>
          <w:sz w:val="17"/>
        </w:rPr>
        <w:t>图1：日志证据、指标分析、失败归因、指令修订和复测构成的闭环。</w:t>
      </w:r>
    </w:p>
    <w:p>
      <w:pPr>
        <w:pStyle w:val="Heading1"/>
      </w:pPr>
      <w:r>
        <w:t>2. 维护数据源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B8C4D1"/>
          <w:left w:val="single" w:sz="6" w:space="0" w:color="B8C4D1"/>
          <w:bottom w:val="single" w:sz="6" w:space="0" w:color="B8C4D1"/>
          <w:right w:val="single" w:sz="6" w:space="0" w:color="B8C4D1"/>
          <w:insideH w:val="single" w:sz="6" w:space="0" w:color="B8C4D1"/>
          <w:insideV w:val="single" w:sz="6" w:space="0" w:color="B8C4D1"/>
        </w:tblBorders>
      </w:tblPr>
      <w:tblGrid>
        <w:gridCol w:w="4770"/>
        <w:gridCol w:w="4770"/>
        <w:gridCol w:w="4770"/>
      </w:tblGrid>
      <w:tr>
        <w:tc>
          <w:tcPr>
            <w:tcW w:type="dxa" w:w="2268"/>
            <w:shd w:fill="EEF3F8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ptos" w:hAnsi="Aptos" w:eastAsia="Microsoft YaHei"/>
                <w:b/>
                <w:color w:val="1F2937"/>
                <w:sz w:val="17"/>
              </w:rPr>
              <w:t>数据源</w:t>
            </w:r>
          </w:p>
        </w:tc>
        <w:tc>
          <w:tcPr>
            <w:tcW w:type="dxa" w:w="4819"/>
            <w:shd w:fill="EEF3F8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ptos" w:hAnsi="Aptos" w:eastAsia="Microsoft YaHei"/>
                <w:b/>
                <w:color w:val="1F2937"/>
                <w:sz w:val="17"/>
              </w:rPr>
              <w:t>路径/入口</w:t>
            </w:r>
          </w:p>
        </w:tc>
        <w:tc>
          <w:tcPr>
            <w:tcW w:type="dxa" w:w="6803"/>
            <w:shd w:fill="EEF3F8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ptos" w:hAnsi="Aptos" w:eastAsia="Microsoft YaHei"/>
                <w:b/>
                <w:color w:val="1F2937"/>
                <w:sz w:val="17"/>
              </w:rPr>
              <w:t>维护时使用方式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1F2937"/>
                <w:sz w:val="17"/>
              </w:rPr>
              <w:t>评测工作台</w:t>
            </w:r>
          </w:p>
        </w:tc>
        <w:tc>
          <w:tcPr>
            <w:tcW w:type="dxa" w:w="4819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1F2937"/>
                <w:sz w:val="17"/>
              </w:rPr>
              <w:t>C:\Users\ASUS\Documents\Codex\parts-agent-evaluation-workbench</w:t>
            </w:r>
          </w:p>
        </w:tc>
        <w:tc>
          <w:tcPr>
            <w:tcW w:type="dxa" w:w="6803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1F2937"/>
                <w:sz w:val="17"/>
              </w:rPr>
              <w:t>管理任务、场景、检查点、版本和测试记录；不另造指标。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1F2937"/>
                <w:sz w:val="17"/>
              </w:rPr>
              <w:t>任务/检查点</w:t>
            </w:r>
          </w:p>
        </w:tc>
        <w:tc>
          <w:tcPr>
            <w:tcW w:type="dxa" w:w="4819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1F2937"/>
                <w:sz w:val="17"/>
              </w:rPr>
              <w:t>app/src/data/tasks.json</w:t>
            </w:r>
          </w:p>
        </w:tc>
        <w:tc>
          <w:tcPr>
            <w:tcW w:type="dxa" w:w="6803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1F2937"/>
                <w:sz w:val="17"/>
              </w:rPr>
              <w:t>读取 taskId、sceneId、pointId、description、hardRequired、ruleTemplateId。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1F2937"/>
                <w:sz w:val="17"/>
              </w:rPr>
              <w:t>测试记录</w:t>
            </w:r>
          </w:p>
        </w:tc>
        <w:tc>
          <w:tcPr>
            <w:tcW w:type="dxa" w:w="4819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1F2937"/>
                <w:sz w:val="17"/>
              </w:rPr>
              <w:t>app/src/data/records.json</w:t>
            </w:r>
          </w:p>
        </w:tc>
        <w:tc>
          <w:tcPr>
            <w:tcW w:type="dxa" w:w="6803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1F2937"/>
                <w:sz w:val="17"/>
              </w:rPr>
              <w:t>读取 versionId、sourceInput、actual、note、response time、attachments。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1F2937"/>
                <w:sz w:val="17"/>
              </w:rPr>
              <w:t>版本信息</w:t>
            </w:r>
          </w:p>
        </w:tc>
        <w:tc>
          <w:tcPr>
            <w:tcW w:type="dxa" w:w="4819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1F2937"/>
                <w:sz w:val="17"/>
              </w:rPr>
              <w:t>app/src/data/versions.json</w:t>
            </w:r>
          </w:p>
        </w:tc>
        <w:tc>
          <w:tcPr>
            <w:tcW w:type="dxa" w:w="6803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1F2937"/>
                <w:sz w:val="17"/>
              </w:rPr>
              <w:t>做当前版本和基线版本对比。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1F2937"/>
                <w:sz w:val="17"/>
              </w:rPr>
              <w:t>规则和分类</w:t>
            </w:r>
          </w:p>
        </w:tc>
        <w:tc>
          <w:tcPr>
            <w:tcW w:type="dxa" w:w="4819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1F2937"/>
                <w:sz w:val="17"/>
              </w:rPr>
              <w:t>rule-templates.json / point-categories.json</w:t>
            </w:r>
          </w:p>
        </w:tc>
        <w:tc>
          <w:tcPr>
            <w:tcW w:type="dxa" w:w="6803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1F2937"/>
                <w:sz w:val="17"/>
              </w:rPr>
              <w:t>引用已有规则、权重和分类，不新增口径。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1F2937"/>
                <w:sz w:val="17"/>
              </w:rPr>
              <w:t>运行日志</w:t>
            </w:r>
          </w:p>
        </w:tc>
        <w:tc>
          <w:tcPr>
            <w:tcW w:type="dxa" w:w="4819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1F2937"/>
                <w:sz w:val="17"/>
              </w:rPr>
              <w:t>conversation JSONL + .summary.json</w:t>
            </w:r>
          </w:p>
        </w:tc>
        <w:tc>
          <w:tcPr>
            <w:tcW w:type="dxa" w:w="6803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1F2937"/>
                <w:sz w:val="17"/>
              </w:rPr>
              <w:t>读取turn、tool_events、mcp_batches、last_error、artifact路径。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1F2937"/>
                <w:sz w:val="17"/>
              </w:rPr>
              <w:t>日志接口</w:t>
            </w:r>
          </w:p>
        </w:tc>
        <w:tc>
          <w:tcPr>
            <w:tcW w:type="dxa" w:w="4819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1F2937"/>
                <w:sz w:val="17"/>
              </w:rPr>
              <w:t>http://127.0.0.1:8765/api/runtime/conversation-log?conversation_id=&lt;id&gt;</w:t>
            </w:r>
          </w:p>
        </w:tc>
        <w:tc>
          <w:tcPr>
            <w:tcW w:type="dxa" w:w="6803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1F2937"/>
                <w:sz w:val="17"/>
              </w:rPr>
              <w:t>已知conversation_id时先取日志状态和summary。</w:t>
            </w:r>
          </w:p>
        </w:tc>
      </w:tr>
    </w:tbl>
    <w:p>
      <w:pPr>
        <w:pStyle w:val="Heading1"/>
      </w:pPr>
      <w:r>
        <w:t>3. 单个失败的标准处理流程</w:t>
      </w:r>
    </w:p>
    <w:p>
      <w:pPr>
        <w:pStyle w:val="ListNumber"/>
        <w:spacing w:after="60" w:line="278" w:lineRule="auto"/>
      </w:pPr>
      <w:r>
        <w:rPr>
          <w:rFonts w:ascii="Aptos" w:hAnsi="Aptos" w:eastAsia="Microsoft YaHei"/>
          <w:sz w:val="19"/>
        </w:rPr>
        <w:t>在评测工作台定位失败：写清 versionId、taskId、sceneId、pointId、hardRequired、ruleTemplateId、actual、expected。</w:t>
      </w:r>
    </w:p>
    <w:p>
      <w:pPr>
        <w:pStyle w:val="ListNumber"/>
        <w:spacing w:after="60" w:line="278" w:lineRule="auto"/>
      </w:pPr>
      <w:r>
        <w:rPr>
          <w:rFonts w:ascii="Aptos" w:hAnsi="Aptos" w:eastAsia="Microsoft YaHei"/>
          <w:sz w:val="19"/>
        </w:rPr>
        <w:t>取运行日志：获取 conversation JSONL 和 summary，保留 tool_events、mcp_batches、last_error、artifact 路径。</w:t>
      </w:r>
    </w:p>
    <w:p>
      <w:pPr>
        <w:pStyle w:val="ListNumber"/>
        <w:spacing w:after="60" w:line="278" w:lineRule="auto"/>
      </w:pPr>
      <w:r>
        <w:rPr>
          <w:rFonts w:ascii="Aptos" w:hAnsi="Aptos" w:eastAsia="Microsoft YaHei"/>
          <w:sz w:val="19"/>
        </w:rPr>
        <w:t>准备失败处理材料：把评测定位、日志证据、用户输入、输出物路径、环境状态和业务影响收齐，格式由团队统一工具或维护流程确定。</w:t>
      </w:r>
    </w:p>
    <w:p>
      <w:pPr>
        <w:pStyle w:val="ListNumber"/>
        <w:spacing w:after="60" w:line="278" w:lineRule="auto"/>
      </w:pPr>
      <w:r>
        <w:rPr>
          <w:rFonts w:ascii="Aptos" w:hAnsi="Aptos" w:eastAsia="Microsoft YaHei"/>
          <w:sz w:val="19"/>
        </w:rPr>
        <w:t>交给日志证据智能体：只让它还原工具调用链和第一个异常点，不让它给业务建议。</w:t>
      </w:r>
    </w:p>
    <w:p>
      <w:pPr>
        <w:pStyle w:val="ListNumber"/>
        <w:spacing w:after="60" w:line="278" w:lineRule="auto"/>
      </w:pPr>
      <w:r>
        <w:rPr>
          <w:rFonts w:ascii="Aptos" w:hAnsi="Aptos" w:eastAsia="Microsoft YaHei"/>
          <w:sz w:val="19"/>
        </w:rPr>
        <w:t>交给指标分析智能体：只使用工作台已有任务、场景、检查点、规则、权重和版本记录。</w:t>
      </w:r>
    </w:p>
    <w:p>
      <w:pPr>
        <w:pStyle w:val="ListNumber"/>
        <w:spacing w:after="60" w:line="278" w:lineRule="auto"/>
      </w:pPr>
      <w:r>
        <w:rPr>
          <w:rFonts w:ascii="Aptos" w:hAnsi="Aptos" w:eastAsia="Microsoft YaHei"/>
          <w:sz w:val="19"/>
        </w:rPr>
        <w:t>交给失败归因智能体：输出单主因、归属子智能体、最小修订对象和复测范围。</w:t>
      </w:r>
    </w:p>
    <w:p>
      <w:pPr>
        <w:pStyle w:val="ListNumber"/>
        <w:spacing w:after="60" w:line="278" w:lineRule="auto"/>
      </w:pPr>
      <w:r>
        <w:rPr>
          <w:rFonts w:ascii="Aptos" w:hAnsi="Aptos" w:eastAsia="Microsoft YaHei"/>
          <w:sz w:val="19"/>
        </w:rPr>
        <w:t>交给指令/模板修订智能体：只提出无代码修订，包括Agent说明、Skill、输出模板、知识表、评测样本或SOP。</w:t>
      </w:r>
    </w:p>
    <w:p>
      <w:pPr>
        <w:pStyle w:val="ListNumber"/>
        <w:spacing w:after="60" w:line="278" w:lineRule="auto"/>
      </w:pPr>
      <w:r>
        <w:rPr>
          <w:rFonts w:ascii="Aptos" w:hAnsi="Aptos" w:eastAsia="Microsoft YaHei"/>
          <w:sz w:val="19"/>
        </w:rPr>
        <w:t>人工评审修订：确认不越权、不编造事实、不绕过工具校验、不破坏历史通过场景。</w:t>
      </w:r>
    </w:p>
    <w:p>
      <w:pPr>
        <w:pStyle w:val="ListNumber"/>
        <w:spacing w:after="60" w:line="278" w:lineRule="auto"/>
      </w:pPr>
      <w:r>
        <w:rPr>
          <w:rFonts w:ascii="Aptos" w:hAnsi="Aptos" w:eastAsia="Microsoft YaHei"/>
          <w:sz w:val="19"/>
        </w:rPr>
        <w:t>交给复测智能体：复测原失败场景、相邻场景和至少一个历史通过场景。</w:t>
      </w:r>
    </w:p>
    <w:p>
      <w:pPr>
        <w:pStyle w:val="ListNumber"/>
        <w:spacing w:after="60" w:line="278" w:lineRule="auto"/>
      </w:pPr>
      <w:r>
        <w:rPr>
          <w:rFonts w:ascii="Aptos" w:hAnsi="Aptos" w:eastAsia="Microsoft YaHei"/>
          <w:sz w:val="19"/>
        </w:rPr>
        <w:t>关闭或升级：连续两轮通过且无新增硬性失败才关闭；证据指向工具/代码时升级缺陷单。</w:t>
      </w:r>
    </w:p>
    <w:p>
      <w:pPr>
        <w:pStyle w:val="Heading1"/>
      </w:pPr>
      <w:r>
        <w:t>4. 失败处理前准备材料清单</w:t>
      </w:r>
    </w:p>
    <w:p>
      <w:pPr>
        <w:pStyle w:val="BodyText"/>
        <w:spacing w:after="100" w:line="283" w:lineRule="auto"/>
      </w:pPr>
      <w:r>
        <w:rPr>
          <w:rFonts w:ascii="Aptos" w:hAnsi="Aptos" w:eastAsia="Microsoft YaHei"/>
          <w:color w:val="1F2937"/>
          <w:sz w:val="20"/>
        </w:rPr>
        <w:t>每个失败交给辅助智能体前，只要求准备完整材料，不强制工程师手工整理成某一种文本格式。团队后续可以在工作台或表单中统一承载这些字段。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B8C4D1"/>
          <w:left w:val="single" w:sz="6" w:space="0" w:color="B8C4D1"/>
          <w:bottom w:val="single" w:sz="6" w:space="0" w:color="B8C4D1"/>
          <w:right w:val="single" w:sz="6" w:space="0" w:color="B8C4D1"/>
          <w:insideH w:val="single" w:sz="6" w:space="0" w:color="B8C4D1"/>
          <w:insideV w:val="single" w:sz="6" w:space="0" w:color="B8C4D1"/>
        </w:tblBorders>
      </w:tblPr>
      <w:tblGrid>
        <w:gridCol w:w="3577"/>
        <w:gridCol w:w="3577"/>
        <w:gridCol w:w="3577"/>
        <w:gridCol w:w="3577"/>
      </w:tblGrid>
      <w:tr>
        <w:tc>
          <w:tcPr>
            <w:tcW w:type="dxa" w:w="2154"/>
            <w:shd w:fill="EEF3F8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ptos" w:hAnsi="Aptos" w:eastAsia="Microsoft YaHei"/>
                <w:b/>
                <w:color w:val="1F2937"/>
                <w:sz w:val="17"/>
              </w:rPr>
              <w:t>材料类型</w:t>
            </w:r>
          </w:p>
        </w:tc>
        <w:tc>
          <w:tcPr>
            <w:tcW w:type="dxa" w:w="4422"/>
            <w:shd w:fill="EEF3F8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ptos" w:hAnsi="Aptos" w:eastAsia="Microsoft YaHei"/>
                <w:b/>
                <w:color w:val="1F2937"/>
                <w:sz w:val="17"/>
              </w:rPr>
              <w:t>必须准备的内容</w:t>
            </w:r>
          </w:p>
        </w:tc>
        <w:tc>
          <w:tcPr>
            <w:tcW w:type="dxa" w:w="3515"/>
            <w:shd w:fill="EEF3F8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ptos" w:hAnsi="Aptos" w:eastAsia="Microsoft YaHei"/>
                <w:b/>
                <w:color w:val="1F2937"/>
                <w:sz w:val="17"/>
              </w:rPr>
              <w:t>来源</w:t>
            </w:r>
          </w:p>
        </w:tc>
        <w:tc>
          <w:tcPr>
            <w:tcW w:type="dxa" w:w="3798"/>
            <w:shd w:fill="EEF3F8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ptos" w:hAnsi="Aptos" w:eastAsia="Microsoft YaHei"/>
                <w:b/>
                <w:color w:val="1F2937"/>
                <w:sz w:val="17"/>
              </w:rPr>
              <w:t>用途</w:t>
            </w:r>
          </w:p>
        </w:tc>
      </w:tr>
      <w:tr>
        <w:tc>
          <w:tcPr>
            <w:tcW w:type="dxa" w:w="2154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1F2937"/>
                <w:sz w:val="17"/>
              </w:rPr>
              <w:t>评测定位材料</w:t>
            </w:r>
          </w:p>
        </w:tc>
        <w:tc>
          <w:tcPr>
            <w:tcW w:type="dxa" w:w="4422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1F2937"/>
                <w:sz w:val="17"/>
              </w:rPr>
              <w:t>失败版本、任务、场景、检查点、检查点标题、分类、权重、是否硬性、规则模板、期望结果和实际结果。</w:t>
            </w:r>
          </w:p>
        </w:tc>
        <w:tc>
          <w:tcPr>
            <w:tcW w:type="dxa" w:w="3515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1F2937"/>
                <w:sz w:val="17"/>
              </w:rPr>
              <w:t>工作台；tasks.json；records.json；rule-templates.json；point-categories.json</w:t>
            </w:r>
          </w:p>
        </w:tc>
        <w:tc>
          <w:tcPr>
            <w:tcW w:type="dxa" w:w="3798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1F2937"/>
                <w:sz w:val="17"/>
              </w:rPr>
              <w:t>让指标分析智能体准确定位失败，不重新发明指标。</w:t>
            </w:r>
          </w:p>
        </w:tc>
      </w:tr>
      <w:tr>
        <w:tc>
          <w:tcPr>
            <w:tcW w:type="dxa" w:w="2154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1F2937"/>
                <w:sz w:val="17"/>
              </w:rPr>
              <w:t>原始输入材料</w:t>
            </w:r>
          </w:p>
        </w:tc>
        <w:tc>
          <w:tcPr>
            <w:tcW w:type="dxa" w:w="4422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1F2937"/>
                <w:sz w:val="17"/>
              </w:rPr>
              <w:t>用户原始输入、测试轮次、测试日期、测试人员、来源文件、相关附件说明。</w:t>
            </w:r>
          </w:p>
        </w:tc>
        <w:tc>
          <w:tcPr>
            <w:tcW w:type="dxa" w:w="3515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1F2937"/>
                <w:sz w:val="17"/>
              </w:rPr>
              <w:t>records.json；测试记录附件；人工测试记录</w:t>
            </w:r>
          </w:p>
        </w:tc>
        <w:tc>
          <w:tcPr>
            <w:tcW w:type="dxa" w:w="3798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1F2937"/>
                <w:sz w:val="17"/>
              </w:rPr>
              <w:t>保证后续复测能复现同一输入。</w:t>
            </w:r>
          </w:p>
        </w:tc>
      </w:tr>
      <w:tr>
        <w:tc>
          <w:tcPr>
            <w:tcW w:type="dxa" w:w="2154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1F2937"/>
                <w:sz w:val="17"/>
              </w:rPr>
              <w:t>运行日志材料</w:t>
            </w:r>
          </w:p>
        </w:tc>
        <w:tc>
          <w:tcPr>
            <w:tcW w:type="dxa" w:w="4422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1F2937"/>
                <w:sz w:val="17"/>
              </w:rPr>
              <w:t>conversation_id、JSONL日志、summary日志、tool_events、mcp_batches、last_error、connector_tools、artifact路径。</w:t>
            </w:r>
          </w:p>
        </w:tc>
        <w:tc>
          <w:tcPr>
            <w:tcW w:type="dxa" w:w="3515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1F2937"/>
                <w:sz w:val="17"/>
              </w:rPr>
              <w:t>conversation-log接口；客户端logs/conversations目录</w:t>
            </w:r>
          </w:p>
        </w:tc>
        <w:tc>
          <w:tcPr>
            <w:tcW w:type="dxa" w:w="3798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1F2937"/>
                <w:sz w:val="17"/>
              </w:rPr>
              <w:t>让日志证据智能体还原工具调用链和第一个异常点。</w:t>
            </w:r>
          </w:p>
        </w:tc>
      </w:tr>
      <w:tr>
        <w:tc>
          <w:tcPr>
            <w:tcW w:type="dxa" w:w="2154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1F2937"/>
                <w:sz w:val="17"/>
              </w:rPr>
              <w:t>输出物材料</w:t>
            </w:r>
          </w:p>
        </w:tc>
        <w:tc>
          <w:tcPr>
            <w:tcW w:type="dxa" w:w="4422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1F2937"/>
                <w:sz w:val="17"/>
              </w:rPr>
              <w:t>模型、截图、DFMEA工作簿、设计说明书、TC对象、报告artifact、文件存在性检查结果。</w:t>
            </w:r>
          </w:p>
        </w:tc>
        <w:tc>
          <w:tcPr>
            <w:tcW w:type="dxa" w:w="3515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1F2937"/>
                <w:sz w:val="17"/>
              </w:rPr>
              <w:t>工具返回结果；local_file；交付目录；测试附件</w:t>
            </w:r>
          </w:p>
        </w:tc>
        <w:tc>
          <w:tcPr>
            <w:tcW w:type="dxa" w:w="3798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1F2937"/>
                <w:sz w:val="17"/>
              </w:rPr>
              <w:t>证明失败发生在哪个交付环节，避免只凭回复文字判断。</w:t>
            </w:r>
          </w:p>
        </w:tc>
      </w:tr>
      <w:tr>
        <w:tc>
          <w:tcPr>
            <w:tcW w:type="dxa" w:w="2154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1F2937"/>
                <w:sz w:val="17"/>
              </w:rPr>
              <w:t>环境状态材料</w:t>
            </w:r>
          </w:p>
        </w:tc>
        <w:tc>
          <w:tcPr>
            <w:tcW w:type="dxa" w:w="4422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1F2937"/>
                <w:sz w:val="17"/>
              </w:rPr>
              <w:t>NX、Teamcenter、IPM/QPP/ECR、MySQL、DFMEA服务、设计报告服务是否可用；是否存在超时或权限异常。</w:t>
            </w:r>
          </w:p>
        </w:tc>
        <w:tc>
          <w:tcPr>
            <w:tcW w:type="dxa" w:w="3515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1F2937"/>
                <w:sz w:val="17"/>
              </w:rPr>
              <w:t>工具日志；服务状态；人工确认</w:t>
            </w:r>
          </w:p>
        </w:tc>
        <w:tc>
          <w:tcPr>
            <w:tcW w:type="dxa" w:w="3798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1F2937"/>
                <w:sz w:val="17"/>
              </w:rPr>
              <w:t>区分智能体问题、外部系统问题和代码/工具问题。</w:t>
            </w:r>
          </w:p>
        </w:tc>
      </w:tr>
      <w:tr>
        <w:tc>
          <w:tcPr>
            <w:tcW w:type="dxa" w:w="2154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1F2937"/>
                <w:sz w:val="17"/>
              </w:rPr>
              <w:t>影响和责任材料</w:t>
            </w:r>
          </w:p>
        </w:tc>
        <w:tc>
          <w:tcPr>
            <w:tcW w:type="dxa" w:w="4422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1F2937"/>
                <w:sz w:val="17"/>
              </w:rPr>
              <w:t>业务影响、阻断程度、责任维护人、期望修复版本、是否需要升级代码缺陷。</w:t>
            </w:r>
          </w:p>
        </w:tc>
        <w:tc>
          <w:tcPr>
            <w:tcW w:type="dxa" w:w="3515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1F2937"/>
                <w:sz w:val="17"/>
              </w:rPr>
              <w:t>维护记录；项目计划；人工确认</w:t>
            </w:r>
          </w:p>
        </w:tc>
        <w:tc>
          <w:tcPr>
            <w:tcW w:type="dxa" w:w="3798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1F2937"/>
                <w:sz w:val="17"/>
              </w:rPr>
              <w:t>决定优先级、关闭条件和升级路径。</w:t>
            </w:r>
          </w:p>
        </w:tc>
      </w:tr>
      <w:tr>
        <w:tc>
          <w:tcPr>
            <w:tcW w:type="dxa" w:w="2154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1F2937"/>
                <w:sz w:val="17"/>
              </w:rPr>
              <w:t>复测基线材料</w:t>
            </w:r>
          </w:p>
        </w:tc>
        <w:tc>
          <w:tcPr>
            <w:tcW w:type="dxa" w:w="4422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1F2937"/>
                <w:sz w:val="17"/>
              </w:rPr>
              <w:t>原失败场景、相邻场景、至少一个历史通过场景、基线版本记录。</w:t>
            </w:r>
          </w:p>
        </w:tc>
        <w:tc>
          <w:tcPr>
            <w:tcW w:type="dxa" w:w="3515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1F2937"/>
                <w:sz w:val="17"/>
              </w:rPr>
              <w:t>工作台records/versions；历史测试报告</w:t>
            </w:r>
          </w:p>
        </w:tc>
        <w:tc>
          <w:tcPr>
            <w:tcW w:type="dxa" w:w="3798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1F2937"/>
                <w:sz w:val="17"/>
              </w:rPr>
              <w:t>防止只修单点问题导致历史场景回退。</w:t>
            </w:r>
          </w:p>
        </w:tc>
      </w:tr>
    </w:tbl>
    <w:p>
      <w:pPr>
        <w:pStyle w:val="Heading1"/>
      </w:pPr>
      <w:r>
        <w:t>5. 辅助智能体使用模板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B8C4D1"/>
          <w:left w:val="single" w:sz="6" w:space="0" w:color="B8C4D1"/>
          <w:bottom w:val="single" w:sz="6" w:space="0" w:color="B8C4D1"/>
          <w:right w:val="single" w:sz="6" w:space="0" w:color="B8C4D1"/>
          <w:insideH w:val="single" w:sz="6" w:space="0" w:color="B8C4D1"/>
          <w:insideV w:val="single" w:sz="6" w:space="0" w:color="B8C4D1"/>
        </w:tblBorders>
      </w:tblPr>
      <w:tblGrid>
        <w:gridCol w:w="3577"/>
        <w:gridCol w:w="3577"/>
        <w:gridCol w:w="3577"/>
        <w:gridCol w:w="3577"/>
      </w:tblGrid>
      <w:tr>
        <w:tc>
          <w:tcPr>
            <w:tcW w:type="dxa" w:w="2268"/>
            <w:shd w:fill="EEF3F8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ptos" w:hAnsi="Aptos" w:eastAsia="Microsoft YaHei"/>
                <w:b/>
                <w:color w:val="1F2937"/>
                <w:sz w:val="17"/>
              </w:rPr>
              <w:t>辅助智能体</w:t>
            </w:r>
          </w:p>
        </w:tc>
        <w:tc>
          <w:tcPr>
            <w:tcW w:type="dxa" w:w="3118"/>
            <w:shd w:fill="EEF3F8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ptos" w:hAnsi="Aptos" w:eastAsia="Microsoft YaHei"/>
                <w:b/>
                <w:color w:val="1F2937"/>
                <w:sz w:val="17"/>
              </w:rPr>
              <w:t>输入</w:t>
            </w:r>
          </w:p>
        </w:tc>
        <w:tc>
          <w:tcPr>
            <w:tcW w:type="dxa" w:w="5669"/>
            <w:shd w:fill="EEF3F8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ptos" w:hAnsi="Aptos" w:eastAsia="Microsoft YaHei"/>
                <w:b/>
                <w:color w:val="1F2937"/>
                <w:sz w:val="17"/>
              </w:rPr>
              <w:t>可直接复制的要求</w:t>
            </w:r>
          </w:p>
        </w:tc>
        <w:tc>
          <w:tcPr>
            <w:tcW w:type="dxa" w:w="2835"/>
            <w:shd w:fill="EEF3F8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ptos" w:hAnsi="Aptos" w:eastAsia="Microsoft YaHei"/>
                <w:b/>
                <w:color w:val="1F2937"/>
                <w:sz w:val="17"/>
              </w:rPr>
              <w:t>必须输出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1F2937"/>
                <w:sz w:val="17"/>
              </w:rPr>
              <w:t>日志证据智能体</w:t>
            </w:r>
          </w:p>
        </w:tc>
        <w:tc>
          <w:tcPr>
            <w:tcW w:type="dxa" w:w="3118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1F2937"/>
                <w:sz w:val="17"/>
              </w:rPr>
              <w:t>运行日志材料、原始输入材料、输出物材料</w:t>
            </w:r>
          </w:p>
        </w:tc>
        <w:tc>
          <w:tcPr>
            <w:tcW w:type="dxa" w:w="5669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1F2937"/>
                <w:sz w:val="17"/>
              </w:rPr>
              <w:t>只依据日志分析，不猜测。输出工具调用时间线、第一个异常点、缺失证据、artifact路径和不能判断事项。</w:t>
            </w:r>
          </w:p>
        </w:tc>
        <w:tc>
          <w:tcPr>
            <w:tcW w:type="dxa" w:w="2835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1F2937"/>
                <w:sz w:val="17"/>
              </w:rPr>
              <w:t>时间线表、异常点、证据字段、不可判断清单。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1F2937"/>
                <w:sz w:val="17"/>
              </w:rPr>
              <w:t>指标分析智能体</w:t>
            </w:r>
          </w:p>
        </w:tc>
        <w:tc>
          <w:tcPr>
            <w:tcW w:type="dxa" w:w="3118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1F2937"/>
                <w:sz w:val="17"/>
              </w:rPr>
              <w:t>评测定位材料、版本记录、规则和分类数据</w:t>
            </w:r>
          </w:p>
        </w:tc>
        <w:tc>
          <w:tcPr>
            <w:tcW w:type="dxa" w:w="5669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1F2937"/>
                <w:sz w:val="17"/>
              </w:rPr>
              <w:t>只使用评测工作台已有口径，不新建指标。输出检查点、权重、硬性标记、版本差异和优先级。</w:t>
            </w:r>
          </w:p>
        </w:tc>
        <w:tc>
          <w:tcPr>
            <w:tcW w:type="dxa" w:w="2835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1F2937"/>
                <w:sz w:val="17"/>
              </w:rPr>
              <w:t>任务-场景-检查点矩阵、优先级。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1F2937"/>
                <w:sz w:val="17"/>
              </w:rPr>
              <w:t>失败归因智能体</w:t>
            </w:r>
          </w:p>
        </w:tc>
        <w:tc>
          <w:tcPr>
            <w:tcW w:type="dxa" w:w="3118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1F2937"/>
                <w:sz w:val="17"/>
              </w:rPr>
              <w:t>日志证据、指标定位、Agent边界</w:t>
            </w:r>
          </w:p>
        </w:tc>
        <w:tc>
          <w:tcPr>
            <w:tcW w:type="dxa" w:w="5669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1F2937"/>
                <w:sz w:val="17"/>
              </w:rPr>
              <w:t>根因类别只能选路由错误、职责越界、证据缺失、公式/单位错误、模板/输出规则不足、外部系统异常、MCP/代码缺陷。</w:t>
            </w:r>
          </w:p>
        </w:tc>
        <w:tc>
          <w:tcPr>
            <w:tcW w:type="dxa" w:w="2835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1F2937"/>
                <w:sz w:val="17"/>
              </w:rPr>
              <w:t>单主因、次因、归属Agent、最小修订对象、复测范围。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1F2937"/>
                <w:sz w:val="17"/>
              </w:rPr>
              <w:t>指令/模板修订智能体</w:t>
            </w:r>
          </w:p>
        </w:tc>
        <w:tc>
          <w:tcPr>
            <w:tcW w:type="dxa" w:w="3118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1F2937"/>
                <w:sz w:val="17"/>
              </w:rPr>
              <w:t>归因结论、目标Agent/Skill、失败样本、通过样本</w:t>
            </w:r>
          </w:p>
        </w:tc>
        <w:tc>
          <w:tcPr>
            <w:tcW w:type="dxa" w:w="5669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1F2937"/>
                <w:sz w:val="17"/>
              </w:rPr>
              <w:t>只提出无代码修订。给出原文位置、建议文本、反例、影响范围和回滚方法。</w:t>
            </w:r>
          </w:p>
        </w:tc>
        <w:tc>
          <w:tcPr>
            <w:tcW w:type="dxa" w:w="2835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1F2937"/>
                <w:sz w:val="17"/>
              </w:rPr>
              <w:t>修订清单、插入/替换文本、回滚点。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1F2937"/>
                <w:sz w:val="17"/>
              </w:rPr>
              <w:t>复测智能体</w:t>
            </w:r>
          </w:p>
        </w:tc>
        <w:tc>
          <w:tcPr>
            <w:tcW w:type="dxa" w:w="3118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1F2937"/>
                <w:sz w:val="17"/>
              </w:rPr>
              <w:t>修订清单、原失败场景、相邻场景、历史通过场景</w:t>
            </w:r>
          </w:p>
        </w:tc>
        <w:tc>
          <w:tcPr>
            <w:tcW w:type="dxa" w:w="5669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1F2937"/>
                <w:sz w:val="17"/>
              </w:rPr>
              <w:t>逐检查点记录 actual、note、耗时和artifact；给出是否关闭建议。</w:t>
            </w:r>
          </w:p>
        </w:tc>
        <w:tc>
          <w:tcPr>
            <w:tcW w:type="dxa" w:w="2835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1F2937"/>
                <w:sz w:val="17"/>
              </w:rPr>
              <w:t>复测矩阵、版本对比、关闭建议。</w:t>
            </w:r>
          </w:p>
        </w:tc>
      </w:tr>
    </w:tbl>
    <w:p>
      <w:pPr>
        <w:pStyle w:val="Heading1"/>
      </w:pPr>
      <w:r>
        <w:t>6. 无代码修订对象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B8C4D1"/>
          <w:left w:val="single" w:sz="6" w:space="0" w:color="B8C4D1"/>
          <w:bottom w:val="single" w:sz="6" w:space="0" w:color="B8C4D1"/>
          <w:right w:val="single" w:sz="6" w:space="0" w:color="B8C4D1"/>
          <w:insideH w:val="single" w:sz="6" w:space="0" w:color="B8C4D1"/>
          <w:insideV w:val="single" w:sz="6" w:space="0" w:color="B8C4D1"/>
        </w:tblBorders>
      </w:tblPr>
      <w:tblGrid>
        <w:gridCol w:w="3577"/>
        <w:gridCol w:w="3577"/>
        <w:gridCol w:w="3577"/>
        <w:gridCol w:w="3577"/>
      </w:tblGrid>
      <w:tr>
        <w:tc>
          <w:tcPr>
            <w:tcW w:type="dxa" w:w="1984"/>
            <w:shd w:fill="EEF3F8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ptos" w:hAnsi="Aptos" w:eastAsia="Microsoft YaHei"/>
                <w:b/>
                <w:color w:val="1F2937"/>
                <w:sz w:val="17"/>
              </w:rPr>
              <w:t>对象</w:t>
            </w:r>
          </w:p>
        </w:tc>
        <w:tc>
          <w:tcPr>
            <w:tcW w:type="dxa" w:w="3118"/>
            <w:shd w:fill="EEF3F8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ptos" w:hAnsi="Aptos" w:eastAsia="Microsoft YaHei"/>
                <w:b/>
                <w:color w:val="1F2937"/>
                <w:sz w:val="17"/>
              </w:rPr>
              <w:t>适用失败</w:t>
            </w:r>
          </w:p>
        </w:tc>
        <w:tc>
          <w:tcPr>
            <w:tcW w:type="dxa" w:w="5953"/>
            <w:shd w:fill="EEF3F8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ptos" w:hAnsi="Aptos" w:eastAsia="Microsoft YaHei"/>
                <w:b/>
                <w:color w:val="1F2937"/>
                <w:sz w:val="17"/>
              </w:rPr>
              <w:t>具体动作</w:t>
            </w:r>
          </w:p>
        </w:tc>
        <w:tc>
          <w:tcPr>
            <w:tcW w:type="dxa" w:w="2835"/>
            <w:shd w:fill="EEF3F8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ptos" w:hAnsi="Aptos" w:eastAsia="Microsoft YaHei"/>
                <w:b/>
                <w:color w:val="1F2937"/>
                <w:sz w:val="17"/>
              </w:rPr>
              <w:t>验收方式</w:t>
            </w:r>
          </w:p>
        </w:tc>
      </w:tr>
      <w:tr>
        <w:tc>
          <w:tcPr>
            <w:tcW w:type="dxa" w:w="1984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1F2937"/>
                <w:sz w:val="17"/>
              </w:rPr>
              <w:t>Agent说明</w:t>
            </w:r>
          </w:p>
        </w:tc>
        <w:tc>
          <w:tcPr>
            <w:tcW w:type="dxa" w:w="3118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1F2937"/>
                <w:sz w:val="17"/>
              </w:rPr>
              <w:t>路由错误、职责越界、工具误用</w:t>
            </w:r>
          </w:p>
        </w:tc>
        <w:tc>
          <w:tcPr>
            <w:tcW w:type="dxa" w:w="5953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1F2937"/>
                <w:sz w:val="17"/>
              </w:rPr>
              <w:t>增加触发条件、退出条件、禁止事项、必须回读项、交接输出格式。</w:t>
            </w:r>
          </w:p>
        </w:tc>
        <w:tc>
          <w:tcPr>
            <w:tcW w:type="dxa" w:w="2835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1F2937"/>
                <w:sz w:val="17"/>
              </w:rPr>
              <w:t>日志显示调用正确Agent和工具，输出字段完整。</w:t>
            </w:r>
          </w:p>
        </w:tc>
      </w:tr>
      <w:tr>
        <w:tc>
          <w:tcPr>
            <w:tcW w:type="dxa" w:w="1984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1F2937"/>
                <w:sz w:val="17"/>
              </w:rPr>
              <w:t>Skill流程</w:t>
            </w:r>
          </w:p>
        </w:tc>
        <w:tc>
          <w:tcPr>
            <w:tcW w:type="dxa" w:w="3118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1F2937"/>
                <w:sz w:val="17"/>
              </w:rPr>
              <w:t>步骤缺失、顺序错误、门禁不足</w:t>
            </w:r>
          </w:p>
        </w:tc>
        <w:tc>
          <w:tcPr>
            <w:tcW w:type="dxa" w:w="5953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1F2937"/>
                <w:sz w:val="17"/>
              </w:rPr>
              <w:t>把隐含经验写成编号步骤，例如先证据后计算、先回读后保存、校验失败不得交付。</w:t>
            </w:r>
          </w:p>
        </w:tc>
        <w:tc>
          <w:tcPr>
            <w:tcW w:type="dxa" w:w="2835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1F2937"/>
                <w:sz w:val="17"/>
              </w:rPr>
              <w:t>工具调用顺序符合Skill，缺证时能阻断。</w:t>
            </w:r>
          </w:p>
        </w:tc>
      </w:tr>
      <w:tr>
        <w:tc>
          <w:tcPr>
            <w:tcW w:type="dxa" w:w="1984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1F2937"/>
                <w:sz w:val="17"/>
              </w:rPr>
              <w:t>输出模板</w:t>
            </w:r>
          </w:p>
        </w:tc>
        <w:tc>
          <w:tcPr>
            <w:tcW w:type="dxa" w:w="3118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1F2937"/>
                <w:sz w:val="17"/>
              </w:rPr>
              <w:t>字段缺失、格式不稳定</w:t>
            </w:r>
          </w:p>
        </w:tc>
        <w:tc>
          <w:tcPr>
            <w:tcW w:type="dxa" w:w="5953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1F2937"/>
                <w:sz w:val="17"/>
              </w:rPr>
              <w:t>固定表头、单位、来源、置信度、待确认项、错误话术。</w:t>
            </w:r>
          </w:p>
        </w:tc>
        <w:tc>
          <w:tcPr>
            <w:tcW w:type="dxa" w:w="2835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1F2937"/>
                <w:sz w:val="17"/>
              </w:rPr>
              <w:t>同一场景多轮输出结构一致。</w:t>
            </w:r>
          </w:p>
        </w:tc>
      </w:tr>
      <w:tr>
        <w:tc>
          <w:tcPr>
            <w:tcW w:type="dxa" w:w="1984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1F2937"/>
                <w:sz w:val="17"/>
              </w:rPr>
              <w:t>知识/别名表</w:t>
            </w:r>
          </w:p>
        </w:tc>
        <w:tc>
          <w:tcPr>
            <w:tcW w:type="dxa" w:w="3118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1F2937"/>
                <w:sz w:val="17"/>
              </w:rPr>
              <w:t>模板误选、参数误配、路径混乱</w:t>
            </w:r>
          </w:p>
        </w:tc>
        <w:tc>
          <w:tcPr>
            <w:tcW w:type="dxa" w:w="5953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1F2937"/>
                <w:sz w:val="17"/>
              </w:rPr>
              <w:t>增加模板优先级、TC路径别名、参数标准ID、中英文同义词；候选必须经工具回读确认。</w:t>
            </w:r>
          </w:p>
        </w:tc>
        <w:tc>
          <w:tcPr>
            <w:tcW w:type="dxa" w:w="2835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1F2937"/>
                <w:sz w:val="17"/>
              </w:rPr>
              <w:t>误配样本通过，历史通过样本不回退。</w:t>
            </w:r>
          </w:p>
        </w:tc>
      </w:tr>
      <w:tr>
        <w:tc>
          <w:tcPr>
            <w:tcW w:type="dxa" w:w="1984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1F2937"/>
                <w:sz w:val="17"/>
              </w:rPr>
              <w:t>公式和单位证据</w:t>
            </w:r>
          </w:p>
        </w:tc>
        <w:tc>
          <w:tcPr>
            <w:tcW w:type="dxa" w:w="3118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1F2937"/>
                <w:sz w:val="17"/>
              </w:rPr>
              <w:t>参数计算错误</w:t>
            </w:r>
          </w:p>
        </w:tc>
        <w:tc>
          <w:tcPr>
            <w:tcW w:type="dxa" w:w="5953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1F2937"/>
                <w:sz w:val="17"/>
              </w:rPr>
              <w:t>公式来源必须记录，单位换算显式输出，边界值进入评测样本。</w:t>
            </w:r>
          </w:p>
        </w:tc>
        <w:tc>
          <w:tcPr>
            <w:tcW w:type="dxa" w:w="2835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1F2937"/>
                <w:sz w:val="17"/>
              </w:rPr>
              <w:t>任务3边界/缺证场景和任务4回读场景通过。</w:t>
            </w:r>
          </w:p>
        </w:tc>
      </w:tr>
      <w:tr>
        <w:tc>
          <w:tcPr>
            <w:tcW w:type="dxa" w:w="1984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1F2937"/>
                <w:sz w:val="17"/>
              </w:rPr>
              <w:t>交付模板</w:t>
            </w:r>
          </w:p>
        </w:tc>
        <w:tc>
          <w:tcPr>
            <w:tcW w:type="dxa" w:w="3118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1F2937"/>
                <w:sz w:val="17"/>
              </w:rPr>
              <w:t>DFMEA或报告质量低</w:t>
            </w:r>
          </w:p>
        </w:tc>
        <w:tc>
          <w:tcPr>
            <w:tcW w:type="dxa" w:w="5953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1F2937"/>
                <w:sz w:val="17"/>
              </w:rPr>
              <w:t>固定必填字段、槽位、图片检查、validate门禁；缺失时写待确认项。</w:t>
            </w:r>
          </w:p>
        </w:tc>
        <w:tc>
          <w:tcPr>
            <w:tcW w:type="dxa" w:w="2835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1F2937"/>
                <w:sz w:val="17"/>
              </w:rPr>
              <w:t>交付物校验通过，缺证场景不伪造。</w:t>
            </w:r>
          </w:p>
        </w:tc>
      </w:tr>
      <w:tr>
        <w:tc>
          <w:tcPr>
            <w:tcW w:type="dxa" w:w="1984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1F2937"/>
                <w:sz w:val="17"/>
              </w:rPr>
              <w:t>评测样本</w:t>
            </w:r>
          </w:p>
        </w:tc>
        <w:tc>
          <w:tcPr>
            <w:tcW w:type="dxa" w:w="3118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1F2937"/>
                <w:sz w:val="17"/>
              </w:rPr>
              <w:t>旧问题容易回归</w:t>
            </w:r>
          </w:p>
        </w:tc>
        <w:tc>
          <w:tcPr>
            <w:tcW w:type="dxa" w:w="5953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1F2937"/>
                <w:sz w:val="17"/>
              </w:rPr>
              <w:t>在现有任务下补充场景或记录，不改权重口径。</w:t>
            </w:r>
          </w:p>
        </w:tc>
        <w:tc>
          <w:tcPr>
            <w:tcW w:type="dxa" w:w="2835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1F2937"/>
                <w:sz w:val="17"/>
              </w:rPr>
              <w:t>版本对比能复现旧失败并证明改善。</w:t>
            </w:r>
          </w:p>
        </w:tc>
      </w:tr>
    </w:tbl>
    <w:p>
      <w:pPr>
        <w:pStyle w:val="Heading1"/>
      </w:pPr>
      <w:r>
        <w:t>7. 按子智能体的改进抓手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B8C4D1"/>
          <w:left w:val="single" w:sz="6" w:space="0" w:color="B8C4D1"/>
          <w:bottom w:val="single" w:sz="6" w:space="0" w:color="B8C4D1"/>
          <w:right w:val="single" w:sz="6" w:space="0" w:color="B8C4D1"/>
          <w:insideH w:val="single" w:sz="6" w:space="0" w:color="B8C4D1"/>
          <w:insideV w:val="single" w:sz="6" w:space="0" w:color="B8C4D1"/>
        </w:tblBorders>
      </w:tblPr>
      <w:tblGrid>
        <w:gridCol w:w="3577"/>
        <w:gridCol w:w="3577"/>
        <w:gridCol w:w="3577"/>
        <w:gridCol w:w="3577"/>
      </w:tblGrid>
      <w:tr>
        <w:tc>
          <w:tcPr>
            <w:tcW w:type="dxa" w:w="2268"/>
            <w:shd w:fill="EEF3F8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ptos" w:hAnsi="Aptos" w:eastAsia="Microsoft YaHei"/>
                <w:b/>
                <w:color w:val="1F2937"/>
                <w:sz w:val="17"/>
              </w:rPr>
              <w:t>子智能体</w:t>
            </w:r>
          </w:p>
        </w:tc>
        <w:tc>
          <w:tcPr>
            <w:tcW w:type="dxa" w:w="3969"/>
            <w:shd w:fill="EEF3F8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ptos" w:hAnsi="Aptos" w:eastAsia="Microsoft YaHei"/>
                <w:b/>
                <w:color w:val="1F2937"/>
                <w:sz w:val="17"/>
              </w:rPr>
              <w:t>先看日志/指标</w:t>
            </w:r>
          </w:p>
        </w:tc>
        <w:tc>
          <w:tcPr>
            <w:tcW w:type="dxa" w:w="5102"/>
            <w:shd w:fill="EEF3F8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ptos" w:hAnsi="Aptos" w:eastAsia="Microsoft YaHei"/>
                <w:b/>
                <w:color w:val="1F2937"/>
                <w:sz w:val="17"/>
              </w:rPr>
              <w:t>无代码改法</w:t>
            </w:r>
          </w:p>
        </w:tc>
        <w:tc>
          <w:tcPr>
            <w:tcW w:type="dxa" w:w="2551"/>
            <w:shd w:fill="EEF3F8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ptos" w:hAnsi="Aptos" w:eastAsia="Microsoft YaHei"/>
                <w:b/>
                <w:color w:val="1F2937"/>
                <w:sz w:val="17"/>
              </w:rPr>
              <w:t>复测组合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1F2937"/>
                <w:sz w:val="17"/>
              </w:rPr>
              <w:t>task-query-display-agent</w:t>
            </w:r>
          </w:p>
        </w:tc>
        <w:tc>
          <w:tcPr>
            <w:tcW w:type="dxa" w:w="3969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1F2937"/>
                <w:sz w:val="17"/>
              </w:rPr>
              <w:t>sourceInput、响应时间、query_ipm_list/connect_qpp/query_ecr_list输入输出和超时。</w:t>
            </w:r>
          </w:p>
        </w:tc>
        <w:tc>
          <w:tcPr>
            <w:tcW w:type="dxa" w:w="5102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1F2937"/>
                <w:sz w:val="17"/>
              </w:rPr>
              <w:t>固定任务列表字段；超时系统单列；无结果给替代检索；保留原始任务描述。</w:t>
            </w:r>
          </w:p>
        </w:tc>
        <w:tc>
          <w:tcPr>
            <w:tcW w:type="dxa" w:w="2551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1F2937"/>
                <w:sz w:val="17"/>
              </w:rPr>
              <w:t>t1-001、t1-003、t1-004、t1-005。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1F2937"/>
                <w:sz w:val="17"/>
              </w:rPr>
              <w:t>nx-template-agent</w:t>
            </w:r>
          </w:p>
        </w:tc>
        <w:tc>
          <w:tcPr>
            <w:tcW w:type="dxa" w:w="3969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1F2937"/>
                <w:sz w:val="17"/>
              </w:rPr>
              <w:t>TC候选路径、模板版本、nx_open结果、WorkPart回读。</w:t>
            </w:r>
          </w:p>
        </w:tc>
        <w:tc>
          <w:tcPr>
            <w:tcW w:type="dxa" w:w="5102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1F2937"/>
                <w:sz w:val="17"/>
              </w:rPr>
              <w:t>模板选择优先级和反例；强制回读部件号/名称/单位/状态。</w:t>
            </w:r>
          </w:p>
        </w:tc>
        <w:tc>
          <w:tcPr>
            <w:tcW w:type="dxa" w:w="2551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1F2937"/>
                <w:sz w:val="17"/>
              </w:rPr>
              <w:t>t2-001、t2-004、无效模板场景。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1F2937"/>
                <w:sz w:val="17"/>
              </w:rPr>
              <w:t>parameter-intelligence-agent</w:t>
            </w:r>
          </w:p>
        </w:tc>
        <w:tc>
          <w:tcPr>
            <w:tcW w:type="dxa" w:w="3969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1F2937"/>
                <w:sz w:val="17"/>
              </w:rPr>
              <w:t>公式来源、脚本校验、NX表达式resolve、单位字段。</w:t>
            </w:r>
          </w:p>
        </w:tc>
        <w:tc>
          <w:tcPr>
            <w:tcW w:type="dxa" w:w="5102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1F2937"/>
                <w:sz w:val="17"/>
              </w:rPr>
              <w:t>参数表固定列；缺证不得计算；单位换算显式输出。</w:t>
            </w:r>
          </w:p>
        </w:tc>
        <w:tc>
          <w:tcPr>
            <w:tcW w:type="dxa" w:w="2551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1F2937"/>
                <w:sz w:val="17"/>
              </w:rPr>
              <w:t>t3-001、t3-003、缺证场景、任务4联测。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1F2937"/>
                <w:sz w:val="17"/>
              </w:rPr>
              <w:t>nx-modeling-tc-agent</w:t>
            </w:r>
          </w:p>
        </w:tc>
        <w:tc>
          <w:tcPr>
            <w:tcW w:type="dxa" w:w="3969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1F2937"/>
                <w:sz w:val="17"/>
              </w:rPr>
              <w:t>计划签名、NX写入/save/readback、TC upload结果。</w:t>
            </w:r>
          </w:p>
        </w:tc>
        <w:tc>
          <w:tcPr>
            <w:tcW w:type="dxa" w:w="5102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1F2937"/>
                <w:sz w:val="17"/>
              </w:rPr>
              <w:t>写前计划、写后对比、保存失败阻断、TC回传清单模板化。</w:t>
            </w:r>
          </w:p>
        </w:tc>
        <w:tc>
          <w:tcPr>
            <w:tcW w:type="dxa" w:w="2551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1F2937"/>
                <w:sz w:val="17"/>
              </w:rPr>
              <w:t>t4-001、参数变更、TC回传、无需写入。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1F2937"/>
                <w:sz w:val="17"/>
              </w:rPr>
              <w:t>drawing-update-agent</w:t>
            </w:r>
          </w:p>
        </w:tc>
        <w:tc>
          <w:tcPr>
            <w:tcW w:type="dxa" w:w="3969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1F2937"/>
                <w:sz w:val="17"/>
              </w:rPr>
              <w:t>TC图纸候选、view list、create image、截图文件存在性。</w:t>
            </w:r>
          </w:p>
        </w:tc>
        <w:tc>
          <w:tcPr>
            <w:tcW w:type="dxa" w:w="5102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1F2937"/>
                <w:sz w:val="17"/>
              </w:rPr>
              <w:t>图纸选择原因、视图清单、截图路径、样式恢复固定输出；空视图阻断。</w:t>
            </w:r>
          </w:p>
        </w:tc>
        <w:tc>
          <w:tcPr>
            <w:tcW w:type="dxa" w:w="2551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1F2937"/>
                <w:sz w:val="17"/>
              </w:rPr>
              <w:t>任务5图纸缺失、空视图、截图场景。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1F2937"/>
                <w:sz w:val="17"/>
              </w:rPr>
              <w:t>dfmea-author-agent</w:t>
            </w:r>
          </w:p>
        </w:tc>
        <w:tc>
          <w:tcPr>
            <w:tcW w:type="dxa" w:w="3969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1F2937"/>
                <w:sz w:val="17"/>
              </w:rPr>
              <w:t>template/inspect/select、calculate_risk、fill、validate、XLSX artifact。</w:t>
            </w:r>
          </w:p>
        </w:tc>
        <w:tc>
          <w:tcPr>
            <w:tcW w:type="dxa" w:w="5102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1F2937"/>
                <w:sz w:val="17"/>
              </w:rPr>
              <w:t>风险项必填列；每行S/O/D/RPN/AP依据；validate失败不得交付。</w:t>
            </w:r>
          </w:p>
        </w:tc>
        <w:tc>
          <w:tcPr>
            <w:tcW w:type="dxa" w:w="2551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1F2937"/>
                <w:sz w:val="17"/>
              </w:rPr>
              <w:t>t6-001、t6-004、t6-005、任务7一致性。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1F2937"/>
                <w:sz w:val="17"/>
              </w:rPr>
              <w:t>design-report-author-agent</w:t>
            </w:r>
          </w:p>
        </w:tc>
        <w:tc>
          <w:tcPr>
            <w:tcW w:type="dxa" w:w="3969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1F2937"/>
                <w:sz w:val="17"/>
              </w:rPr>
              <w:t>template_inspect、collect、decrypt_image、status、artifact。</w:t>
            </w:r>
          </w:p>
        </w:tc>
        <w:tc>
          <w:tcPr>
            <w:tcW w:type="dxa" w:w="5102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1F2937"/>
                <w:sz w:val="17"/>
              </w:rPr>
              <w:t>章节证据矩阵；图片检查；缺失DFMEA/人员信息写待确认；status完成后返回。</w:t>
            </w:r>
          </w:p>
        </w:tc>
        <w:tc>
          <w:tcPr>
            <w:tcW w:type="dxa" w:w="2551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1F2937"/>
                <w:sz w:val="17"/>
              </w:rPr>
              <w:t>t7-001、t7-002、t7-003、t7-004。</w:t>
            </w:r>
          </w:p>
        </w:tc>
      </w:tr>
    </w:tbl>
    <w:p>
      <w:pPr>
        <w:pStyle w:val="Heading1"/>
      </w:pPr>
      <w:r>
        <w:t>8. 关闭门禁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B8C4D1"/>
          <w:left w:val="single" w:sz="6" w:space="0" w:color="B8C4D1"/>
          <w:bottom w:val="single" w:sz="6" w:space="0" w:color="B8C4D1"/>
          <w:right w:val="single" w:sz="6" w:space="0" w:color="B8C4D1"/>
          <w:insideH w:val="single" w:sz="6" w:space="0" w:color="B8C4D1"/>
          <w:insideV w:val="single" w:sz="6" w:space="0" w:color="B8C4D1"/>
        </w:tblBorders>
      </w:tblPr>
      <w:tblGrid>
        <w:gridCol w:w="4770"/>
        <w:gridCol w:w="4770"/>
        <w:gridCol w:w="4770"/>
      </w:tblGrid>
      <w:tr>
        <w:tc>
          <w:tcPr>
            <w:tcW w:type="dxa" w:w="3969"/>
            <w:shd w:fill="EEF3F8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ptos" w:hAnsi="Aptos" w:eastAsia="Microsoft YaHei"/>
                <w:b/>
                <w:color w:val="1F2937"/>
                <w:sz w:val="17"/>
              </w:rPr>
              <w:t>情况</w:t>
            </w:r>
          </w:p>
        </w:tc>
        <w:tc>
          <w:tcPr>
            <w:tcW w:type="dxa" w:w="1984"/>
            <w:shd w:fill="EEF3F8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ptos" w:hAnsi="Aptos" w:eastAsia="Microsoft YaHei"/>
                <w:b/>
                <w:color w:val="1F2937"/>
                <w:sz w:val="17"/>
              </w:rPr>
              <w:t>是否允许关闭</w:t>
            </w:r>
          </w:p>
        </w:tc>
        <w:tc>
          <w:tcPr>
            <w:tcW w:type="dxa" w:w="7937"/>
            <w:shd w:fill="EEF3F8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ptos" w:hAnsi="Aptos" w:eastAsia="Microsoft YaHei"/>
                <w:b/>
                <w:color w:val="1F2937"/>
                <w:sz w:val="17"/>
              </w:rPr>
              <w:t>处理动作</w:t>
            </w:r>
          </w:p>
        </w:tc>
      </w:tr>
      <w:tr>
        <w:tc>
          <w:tcPr>
            <w:tcW w:type="dxa" w:w="3969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1F2937"/>
                <w:sz w:val="17"/>
              </w:rPr>
              <w:t>只有主观描述，没有失败处理材料</w:t>
            </w:r>
          </w:p>
        </w:tc>
        <w:tc>
          <w:tcPr>
            <w:tcW w:type="dxa" w:w="1984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1F2937"/>
                <w:sz w:val="17"/>
              </w:rPr>
              <w:t>不允许</w:t>
            </w:r>
          </w:p>
        </w:tc>
        <w:tc>
          <w:tcPr>
            <w:tcW w:type="dxa" w:w="7937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1F2937"/>
                <w:sz w:val="17"/>
              </w:rPr>
              <w:t>补齐评测定位材料、运行日志材料、输出物材料和业务影响。</w:t>
            </w:r>
          </w:p>
        </w:tc>
      </w:tr>
      <w:tr>
        <w:tc>
          <w:tcPr>
            <w:tcW w:type="dxa" w:w="3969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1F2937"/>
                <w:sz w:val="17"/>
              </w:rPr>
              <w:t>只有评测记录，没有运行日志</w:t>
            </w:r>
          </w:p>
        </w:tc>
        <w:tc>
          <w:tcPr>
            <w:tcW w:type="dxa" w:w="1984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1F2937"/>
                <w:sz w:val="17"/>
              </w:rPr>
              <w:t>不允许</w:t>
            </w:r>
          </w:p>
        </w:tc>
        <w:tc>
          <w:tcPr>
            <w:tcW w:type="dxa" w:w="7937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1F2937"/>
                <w:sz w:val="17"/>
              </w:rPr>
              <w:t>补取JSONL和summary；取不到则标为证据不足。</w:t>
            </w:r>
          </w:p>
        </w:tc>
      </w:tr>
      <w:tr>
        <w:tc>
          <w:tcPr>
            <w:tcW w:type="dxa" w:w="3969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1F2937"/>
                <w:sz w:val="17"/>
              </w:rPr>
              <w:t>只改了提示词/模板，没有复测</w:t>
            </w:r>
          </w:p>
        </w:tc>
        <w:tc>
          <w:tcPr>
            <w:tcW w:type="dxa" w:w="1984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1F2937"/>
                <w:sz w:val="17"/>
              </w:rPr>
              <w:t>不允许</w:t>
            </w:r>
          </w:p>
        </w:tc>
        <w:tc>
          <w:tcPr>
            <w:tcW w:type="dxa" w:w="7937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1F2937"/>
                <w:sz w:val="17"/>
              </w:rPr>
              <w:t>复测原失败、相邻场景和历史通过场景。</w:t>
            </w:r>
          </w:p>
        </w:tc>
      </w:tr>
      <w:tr>
        <w:tc>
          <w:tcPr>
            <w:tcW w:type="dxa" w:w="3969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1F2937"/>
                <w:sz w:val="17"/>
              </w:rPr>
              <w:t>原失败通过但历史通过场景回退</w:t>
            </w:r>
          </w:p>
        </w:tc>
        <w:tc>
          <w:tcPr>
            <w:tcW w:type="dxa" w:w="1984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1F2937"/>
                <w:sz w:val="17"/>
              </w:rPr>
              <w:t>不允许</w:t>
            </w:r>
          </w:p>
        </w:tc>
        <w:tc>
          <w:tcPr>
            <w:tcW w:type="dxa" w:w="7937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1F2937"/>
                <w:sz w:val="17"/>
              </w:rPr>
              <w:t>回滚或继续修订，直到无硬性回退。</w:t>
            </w:r>
          </w:p>
        </w:tc>
      </w:tr>
      <w:tr>
        <w:tc>
          <w:tcPr>
            <w:tcW w:type="dxa" w:w="3969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1F2937"/>
                <w:sz w:val="17"/>
              </w:rPr>
              <w:t>外部系统不可用</w:t>
            </w:r>
          </w:p>
        </w:tc>
        <w:tc>
          <w:tcPr>
            <w:tcW w:type="dxa" w:w="1984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1F2937"/>
                <w:sz w:val="17"/>
              </w:rPr>
              <w:t>暂缓</w:t>
            </w:r>
          </w:p>
        </w:tc>
        <w:tc>
          <w:tcPr>
            <w:tcW w:type="dxa" w:w="7937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1F2937"/>
                <w:sz w:val="17"/>
              </w:rPr>
              <w:t>记录外部依赖状态，不把环境问题计为Agent修复。</w:t>
            </w:r>
          </w:p>
        </w:tc>
      </w:tr>
      <w:tr>
        <w:tc>
          <w:tcPr>
            <w:tcW w:type="dxa" w:w="3969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1F2937"/>
                <w:sz w:val="17"/>
              </w:rPr>
              <w:t>工具入参正确但MCP/NX/TC/桥接持续失败</w:t>
            </w:r>
          </w:p>
        </w:tc>
        <w:tc>
          <w:tcPr>
            <w:tcW w:type="dxa" w:w="1984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1F2937"/>
                <w:sz w:val="17"/>
              </w:rPr>
              <w:t>升级</w:t>
            </w:r>
          </w:p>
        </w:tc>
        <w:tc>
          <w:tcPr>
            <w:tcW w:type="dxa" w:w="7937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1F2937"/>
                <w:sz w:val="17"/>
              </w:rPr>
              <w:t>创建代码缺陷单，附日志、最小复现和工具入参出参。</w:t>
            </w:r>
          </w:p>
        </w:tc>
      </w:tr>
      <w:tr>
        <w:tc>
          <w:tcPr>
            <w:tcW w:type="dxa" w:w="3969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1F2937"/>
                <w:sz w:val="17"/>
              </w:rPr>
              <w:t>原失败连续两轮通过且无新增硬性失败</w:t>
            </w:r>
          </w:p>
        </w:tc>
        <w:tc>
          <w:tcPr>
            <w:tcW w:type="dxa" w:w="1984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1F2937"/>
                <w:sz w:val="17"/>
              </w:rPr>
              <w:t>允许</w:t>
            </w:r>
          </w:p>
        </w:tc>
        <w:tc>
          <w:tcPr>
            <w:tcW w:type="dxa" w:w="7937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1F2937"/>
                <w:sz w:val="17"/>
              </w:rPr>
              <w:t>归档失败处理材料、修订清单、复测矩阵和关闭人。</w:t>
            </w:r>
          </w:p>
        </w:tc>
      </w:tr>
    </w:tbl>
    <w:p>
      <w:pPr>
        <w:pStyle w:val="Heading1"/>
      </w:pPr>
      <w:r>
        <w:t>9. 文件位置</w:t>
      </w:r>
    </w:p>
    <w:p>
      <w:pPr>
        <w:pStyle w:val="BodyText"/>
        <w:spacing w:after="100" w:line="283" w:lineRule="auto"/>
      </w:pPr>
      <w:r>
        <w:rPr>
          <w:rFonts w:ascii="Aptos" w:hAnsi="Aptos" w:eastAsia="Microsoft YaHei"/>
          <w:color w:val="1F2937"/>
          <w:sz w:val="20"/>
        </w:rPr>
        <w:t>本文输出文件：</w:t>
      </w:r>
    </w:p>
    <w:p>
      <w:pPr>
        <w:pStyle w:val="BodyText"/>
      </w:pPr>
      <w:r>
        <w:rPr>
          <w:rFonts w:ascii="Consolas" w:hAnsi="Consolas" w:eastAsia="Microsoft YaHei"/>
          <w:color w:val="1F4E79"/>
          <w:sz w:val="17"/>
        </w:rPr>
        <w:t>E:\A0_Projects\A1_Dynamics_Design_LM\mc-design\output\agent-stability-guide-20260626\零部件设计智能体持续改进操作说明书-Mermaid截图优化版.docx</w:t>
      </w:r>
    </w:p>
    <w:sectPr w:rsidR="00FC693F" w:rsidRPr="0006063C" w:rsidSect="00034616">
      <w:pgSz w:w="15840" w:h="12240" w:orient="landscape"/>
      <w:pgMar w:top="765" w:right="765" w:bottom="680" w:left="76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83" w:lineRule="auto"/>
    </w:pPr>
    <w:rPr>
      <w:rFonts w:ascii="Aptos" w:hAnsi="Aptos" w:eastAsia="Microsoft YaHei"/>
      <w:color w:val="1F2937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40" w:line="269" w:lineRule="auto"/>
      <w:outlineLvl w:val="0"/>
    </w:pPr>
    <w:rPr>
      <w:rFonts w:asciiTheme="majorHAnsi" w:eastAsiaTheme="majorEastAsia" w:hAnsiTheme="majorHAnsi" w:cstheme="majorBidi" w:ascii="Aptos" w:hAnsi="Aptos" w:eastAsia="Microsoft YaHei"/>
      <w:b/>
      <w:bCs/>
      <w:color w:val="17365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40" w:line="269" w:lineRule="auto"/>
      <w:outlineLvl w:val="1"/>
    </w:pPr>
    <w:rPr>
      <w:rFonts w:asciiTheme="majorHAnsi" w:eastAsiaTheme="majorEastAsia" w:hAnsiTheme="majorHAnsi" w:cstheme="majorBidi" w:ascii="Aptos" w:hAnsi="Aptos" w:eastAsia="Microsoft YaHei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269" w:lineRule="auto"/>
      <w:outlineLvl w:val="2"/>
    </w:pPr>
    <w:rPr>
      <w:rFonts w:asciiTheme="majorHAnsi" w:eastAsiaTheme="majorEastAsia" w:hAnsiTheme="majorHAnsi" w:cstheme="majorBidi" w:ascii="Aptos" w:hAnsi="Aptos" w:eastAsia="Microsoft YaHei"/>
      <w:b/>
      <w:bCs/>
      <w:color w:val="365F9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40" w:line="269" w:lineRule="auto" w:before="240"/>
      <w:contextualSpacing/>
    </w:pPr>
    <w:rPr>
      <w:rFonts w:asciiTheme="majorHAnsi" w:eastAsiaTheme="majorEastAsia" w:hAnsiTheme="majorHAnsi" w:cstheme="majorBidi" w:ascii="Aptos" w:hAnsi="Aptos" w:eastAsia="Microsoft YaHei"/>
      <w:b/>
      <w:color w:val="17365D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00" w:line="283" w:lineRule="auto"/>
    </w:pPr>
    <w:rPr>
      <w:rFonts w:ascii="Aptos" w:hAnsi="Aptos" w:eastAsia="Microsoft YaHei"/>
      <w:color w:val="1F2937"/>
      <w:sz w:val="20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00" w:line="283" w:lineRule="auto"/>
      <w:contextualSpacing/>
    </w:pPr>
    <w:rPr>
      <w:rFonts w:ascii="Aptos" w:hAnsi="Aptos" w:eastAsia="Microsoft YaHei"/>
      <w:color w:val="1F2937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00" w:line="283" w:lineRule="auto"/>
      <w:contextualSpacing/>
    </w:pPr>
    <w:rPr>
      <w:rFonts w:ascii="Aptos" w:hAnsi="Aptos" w:eastAsia="Microsoft YaHei"/>
      <w:color w:val="1F2937"/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