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Microsoft YaHei"/>
          <w:b/>
          <w:color w:val="17365D"/>
          <w:sz w:val="44"/>
        </w:rPr>
        <w:t>零部件设计智能体软件模型架构说明书</w:t>
      </w:r>
    </w:p>
    <w:p>
      <w:pPr>
        <w:spacing w:after="200"/>
        <w:jc w:val="center"/>
      </w:pPr>
      <w:r>
        <w:rPr>
          <w:rFonts w:ascii="Aptos" w:hAnsi="Aptos" w:eastAsia="Microsoft YaHei"/>
          <w:color w:val="505050"/>
          <w:sz w:val="20"/>
        </w:rPr>
        <w:t>项目验收技术报告用 | 软件模型、运行链路、7个子智能体架构与过程说明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</w:tblPr>
      <w:tblGrid>
        <w:gridCol w:w="2862"/>
        <w:gridCol w:w="2862"/>
        <w:gridCol w:w="2862"/>
        <w:gridCol w:w="2862"/>
        <w:gridCol w:w="2862"/>
      </w:tblGrid>
      <w:tr>
        <w:tc>
          <w:tcPr>
            <w:tcW w:type="dxa" w:w="2862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文档类型</w:t>
              <w:br/>
              <w:t>技术架构说明</w:t>
            </w:r>
          </w:p>
        </w:tc>
        <w:tc>
          <w:tcPr>
            <w:tcW w:type="dxa" w:w="2862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版本</w:t>
              <w:br/>
              <w:t>Mermaid截图版</w:t>
            </w:r>
          </w:p>
        </w:tc>
        <w:tc>
          <w:tcPr>
            <w:tcW w:type="dxa" w:w="2862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适用对象</w:t>
              <w:br/>
              <w:t>项目验收组 / 技术评审人员 / 系统架构人员</w:t>
            </w:r>
          </w:p>
        </w:tc>
        <w:tc>
          <w:tcPr>
            <w:tcW w:type="dxa" w:w="2862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依据</w:t>
              <w:br/>
              <w:t>项目代码、Agent定义、MCP工具边界、运行日志实现</w:t>
            </w:r>
          </w:p>
        </w:tc>
        <w:tc>
          <w:tcPr>
            <w:tcW w:type="dxa" w:w="2862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生成日期</w:t>
              <w:br/>
              <w:t>2026-06-26</w:t>
            </w:r>
          </w:p>
        </w:tc>
      </w:tr>
    </w:tbl>
    <w:p>
      <w:pPr>
        <w:pStyle w:val="Heading1"/>
      </w:pPr>
      <w:r>
        <w:t>1. 文档定位</w:t>
      </w:r>
    </w:p>
    <w:p>
      <w:pPr>
        <w:pStyle w:val="BodyText"/>
        <w:spacing w:after="100" w:line="283" w:lineRule="auto"/>
      </w:pPr>
      <w:r>
        <w:rPr>
          <w:rFonts w:ascii="Aptos" w:hAnsi="Aptos" w:eastAsia="Microsoft YaHei"/>
          <w:color w:val="1F2937"/>
          <w:sz w:val="20"/>
        </w:rPr>
        <w:t>本文用于项目验收技术报告，重点说明 mc-design 项目中设计智能体的软件模型架构、运行链路、7个任务子智能体的职责边界、工具依赖、输入输出和运行过程。本文不展开持续改进SOP；持续改进方法见配套文档《零部件设计智能体持续改进操作说明书》。</w:t>
      </w:r>
    </w:p>
    <w:p>
      <w:pPr>
        <w:pStyle w:val="ListBullet"/>
        <w:spacing w:after="60" w:line="278" w:lineRule="auto"/>
      </w:pPr>
      <w:r>
        <w:rPr>
          <w:rFonts w:ascii="Aptos" w:hAnsi="Aptos" w:eastAsia="Microsoft YaHei"/>
          <w:sz w:val="19"/>
        </w:rPr>
        <w:t>验收关注点一：主智能体是否只做任务编排和人机确认，不越权调用底层设计工具。</w:t>
      </w:r>
    </w:p>
    <w:p>
      <w:pPr>
        <w:pStyle w:val="ListBullet"/>
        <w:spacing w:after="60" w:line="278" w:lineRule="auto"/>
      </w:pPr>
      <w:r>
        <w:rPr>
          <w:rFonts w:ascii="Aptos" w:hAnsi="Aptos" w:eastAsia="Microsoft YaHei"/>
          <w:sz w:val="19"/>
        </w:rPr>
        <w:t>验收关注点二：7个子智能体是否各自承担独立任务边界，工具权限与职责一致。</w:t>
      </w:r>
    </w:p>
    <w:p>
      <w:pPr>
        <w:pStyle w:val="ListBullet"/>
        <w:spacing w:after="60" w:line="278" w:lineRule="auto"/>
      </w:pPr>
      <w:r>
        <w:rPr>
          <w:rFonts w:ascii="Aptos" w:hAnsi="Aptos" w:eastAsia="Microsoft YaHei"/>
          <w:sz w:val="19"/>
        </w:rPr>
        <w:t>验收关注点三：每个关键步骤是否有可回溯的工具调用、输出物和日志证据。</w:t>
      </w:r>
    </w:p>
    <w:p>
      <w:pPr>
        <w:pStyle w:val="ListBullet"/>
        <w:spacing w:after="60" w:line="278" w:lineRule="auto"/>
      </w:pPr>
      <w:r>
        <w:rPr>
          <w:rFonts w:ascii="Aptos" w:hAnsi="Aptos" w:eastAsia="Microsoft YaHei"/>
          <w:sz w:val="19"/>
        </w:rPr>
        <w:t>验收关注点四：NX、Teamcenter、MySQL、DFMEA、设计报告等外部能力是否通过本地 MCP 工具箱受控接入。</w:t>
      </w:r>
    </w:p>
    <w:p>
      <w:pPr>
        <w:pStyle w:val="Heading1"/>
      </w:pPr>
      <w:r>
        <w:t>2. 软件模型总体架构</w:t>
      </w:r>
    </w:p>
    <w:p>
      <w:pPr>
        <w:pStyle w:val="BodyText"/>
        <w:spacing w:after="100" w:line="283" w:lineRule="auto"/>
      </w:pPr>
      <w:r>
        <w:rPr>
          <w:rFonts w:ascii="Aptos" w:hAnsi="Aptos" w:eastAsia="Microsoft YaHei"/>
          <w:color w:val="1F2937"/>
          <w:sz w:val="20"/>
        </w:rPr>
        <w:t>系统采用“云端/服务侧调度 + 本地客户端桥接 + MCP工具箱 + 业务系统”的软件模型。AI Service 通过 RuntimeBridgeManager 将 turn-stream-v1 调用桥接到本地 ClientApp；ClientApp 负责暴露 /mcp/&lt;toolbox&gt; 工具入口，并通过 TJUAE LiveCoordinator 同步会话、插件和工具定义。design-agent 是默认入口，只负责路由和必要确认，具体任务由7个子智能体完成。</w:t>
      </w:r>
    </w:p>
    <w:p>
      <w:r>
        <w:br w:type="page"/>
      </w:r>
    </w:p>
    <w:p>
      <w:pPr>
        <w:pStyle w:val="Heading3"/>
      </w:pPr>
      <w:r>
        <w:t>总体软件模型架构图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583645" cy="57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83645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图1：设计智能体总体软件模型、7个子智能体、MCP工具箱和企业系统关系。</w:t>
      </w:r>
    </w:p>
    <w:p>
      <w:pPr>
        <w:pStyle w:val="Heading1"/>
      </w:pPr>
      <w:r>
        <w:t>3. 核心组件说明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4770"/>
        <w:gridCol w:w="4770"/>
        <w:gridCol w:w="4770"/>
      </w:tblGrid>
      <w:tr>
        <w:tc>
          <w:tcPr>
            <w:tcW w:type="dxa" w:w="2268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组件</w:t>
            </w:r>
          </w:p>
        </w:tc>
        <w:tc>
          <w:tcPr>
            <w:tcW w:type="dxa" w:w="4535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项目位置/来源</w:t>
            </w:r>
          </w:p>
        </w:tc>
        <w:tc>
          <w:tcPr>
            <w:tcW w:type="dxa" w:w="7087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验收时应确认的内容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插件默认入口</w:t>
            </w:r>
          </w:p>
        </w:tc>
        <w:tc>
          <w:tcPr>
            <w:tcW w:type="dxa" w:w="453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mc-design-nx/client/plugins/mc-design/.tjuae-plugin/plugin.json</w:t>
            </w:r>
          </w:p>
        </w:tc>
        <w:tc>
          <w:tcPr>
            <w:tcW w:type="dxa" w:w="708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默认 agent 为 mc-design:design-agent；MCP servers 指向 connector、mysql、teamcenter、design_report、dfmea、local_file、nx 等工具箱。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主智能体</w:t>
            </w:r>
          </w:p>
        </w:tc>
        <w:tc>
          <w:tcPr>
            <w:tcW w:type="dxa" w:w="453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design-agent.md</w:t>
            </w:r>
          </w:p>
        </w:tc>
        <w:tc>
          <w:tcPr>
            <w:tcW w:type="dxa" w:w="708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只调用7个子Agent和AskUserQuestion；不直接操作NX、TC、MySQL、DFMEA或报告工具。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子智能体定义</w:t>
            </w:r>
          </w:p>
        </w:tc>
        <w:tc>
          <w:tcPr>
            <w:tcW w:type="dxa" w:w="453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*.agent.md</w:t>
            </w:r>
          </w:p>
        </w:tc>
        <w:tc>
          <w:tcPr>
            <w:tcW w:type="dxa" w:w="708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每个子智能体有明确Skill、工具白名单和禁止事项。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本地客户端</w:t>
            </w:r>
          </w:p>
        </w:tc>
        <w:tc>
          <w:tcPr>
            <w:tcW w:type="dxa" w:w="453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mc_design_client/app.py</w:t>
            </w:r>
          </w:p>
        </w:tc>
        <w:tc>
          <w:tcPr>
            <w:tcW w:type="dxa" w:w="708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负责ClientApp、工具定义加载、桥接请求和call_agent入口。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运行桥接</w:t>
            </w:r>
          </w:p>
        </w:tc>
        <w:tc>
          <w:tcPr>
            <w:tcW w:type="dxa" w:w="453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mc-design-ai-service/beya_mcp/runtime_bridge.py</w:t>
            </w:r>
          </w:p>
        </w:tc>
        <w:tc>
          <w:tcPr>
            <w:tcW w:type="dxa" w:w="708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RuntimeBridgeManager 通过 turn-stream-v1 协议把服务侧请求路由到本地运行时。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运行日志</w:t>
            </w:r>
          </w:p>
        </w:tc>
        <w:tc>
          <w:tcPr>
            <w:tcW w:type="dxa" w:w="453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runtime/conversation_log.py</w:t>
            </w:r>
          </w:p>
        </w:tc>
        <w:tc>
          <w:tcPr>
            <w:tcW w:type="dxa" w:w="708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ConversationTurnLogger 记录 JSONL 和 summary，包括tool_events、mcp_batches、last_error等验收证据。</w:t>
            </w:r>
          </w:p>
        </w:tc>
      </w:tr>
    </w:tbl>
    <w:p>
      <w:pPr>
        <w:pStyle w:val="Heading1"/>
      </w:pPr>
      <w:r>
        <w:t>4. 7个子智能体边界总览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2862"/>
        <w:gridCol w:w="2862"/>
        <w:gridCol w:w="2862"/>
        <w:gridCol w:w="2862"/>
        <w:gridCol w:w="2862"/>
      </w:tblGrid>
      <w:tr>
        <w:tc>
          <w:tcPr>
            <w:tcW w:type="dxa" w:w="850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任务</w:t>
            </w:r>
          </w:p>
        </w:tc>
        <w:tc>
          <w:tcPr>
            <w:tcW w:type="dxa" w:w="2381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子智能体</w:t>
            </w:r>
          </w:p>
        </w:tc>
        <w:tc>
          <w:tcPr>
            <w:tcW w:type="dxa" w:w="4252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职责边界</w:t>
            </w:r>
          </w:p>
        </w:tc>
        <w:tc>
          <w:tcPr>
            <w:tcW w:type="dxa" w:w="3402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主要工具/系统</w:t>
            </w:r>
          </w:p>
        </w:tc>
        <w:tc>
          <w:tcPr>
            <w:tcW w:type="dxa" w:w="3005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主要交付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238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task-query-display-agent</w:t>
            </w:r>
          </w:p>
        </w:tc>
        <w:tc>
          <w:tcPr>
            <w:tcW w:type="dxa" w:w="42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任务抓取与展示，保留原始任务事实。</w:t>
            </w:r>
          </w:p>
        </w:tc>
        <w:tc>
          <w:tcPr>
            <w:tcW w:type="dxa" w:w="340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IPM/QPP/ECR connector、local_python_task</w:t>
            </w:r>
          </w:p>
        </w:tc>
        <w:tc>
          <w:tcPr>
            <w:tcW w:type="dxa" w:w="300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任务候选、任务快照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238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nx-template-agent</w:t>
            </w:r>
          </w:p>
        </w:tc>
        <w:tc>
          <w:tcPr>
            <w:tcW w:type="dxa" w:w="42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模板选择、打开和WorkPart确认。</w:t>
            </w:r>
          </w:p>
        </w:tc>
        <w:tc>
          <w:tcPr>
            <w:tcW w:type="dxa" w:w="340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Teamcenter folder/classification、NX open/create/read</w:t>
            </w:r>
          </w:p>
        </w:tc>
        <w:tc>
          <w:tcPr>
            <w:tcW w:type="dxa" w:w="300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模板来源、WorkPart确认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238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parameter-intelligence-agent</w:t>
            </w:r>
          </w:p>
        </w:tc>
        <w:tc>
          <w:tcPr>
            <w:tcW w:type="dxa" w:w="42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证据抽取、公式计算、参数映射、写入计划；只读NX。</w:t>
            </w:r>
          </w:p>
        </w:tc>
        <w:tc>
          <w:tcPr>
            <w:tcW w:type="dxa" w:w="340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MySQL、NX read/find/resolve、local_python_task</w:t>
            </w:r>
          </w:p>
        </w:tc>
        <w:tc>
          <w:tcPr>
            <w:tcW w:type="dxa" w:w="300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参数证据、计算结果、写入计划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238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nx-modeling-tc-agent</w:t>
            </w:r>
          </w:p>
        </w:tc>
        <w:tc>
          <w:tcPr>
            <w:tcW w:type="dxa" w:w="42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执行已确认参数计划、回读、保存、TC回传。</w:t>
            </w:r>
          </w:p>
        </w:tc>
        <w:tc>
          <w:tcPr>
            <w:tcW w:type="dxa" w:w="340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NX update/save、Teamcenter upload/copy/export</w:t>
            </w:r>
          </w:p>
        </w:tc>
        <w:tc>
          <w:tcPr>
            <w:tcW w:type="dxa" w:w="300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写入前后对比、TC对象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238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drawing-update-agent</w:t>
            </w:r>
          </w:p>
        </w:tc>
        <w:tc>
          <w:tcPr>
            <w:tcW w:type="dxa" w:w="42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图纸选择、视图切换、截图证据。</w:t>
            </w:r>
          </w:p>
        </w:tc>
        <w:tc>
          <w:tcPr>
            <w:tcW w:type="dxa" w:w="340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Teamcenter children/export、NX drawing/view/image</w:t>
            </w:r>
          </w:p>
        </w:tc>
        <w:tc>
          <w:tcPr>
            <w:tcW w:type="dxa" w:w="300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图纸对象、视图清单、截图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6</w:t>
            </w:r>
          </w:p>
        </w:tc>
        <w:tc>
          <w:tcPr>
            <w:tcW w:type="dxa" w:w="238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dfmea-author-agent</w:t>
            </w:r>
          </w:p>
        </w:tc>
        <w:tc>
          <w:tcPr>
            <w:tcW w:type="dxa" w:w="42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受控模板DFMEA生成和校验。</w:t>
            </w:r>
          </w:p>
        </w:tc>
        <w:tc>
          <w:tcPr>
            <w:tcW w:type="dxa" w:w="340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DFMEA template/risk/fill/validate、TC export</w:t>
            </w:r>
          </w:p>
        </w:tc>
        <w:tc>
          <w:tcPr>
            <w:tcW w:type="dxa" w:w="300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DFMEA XLSX、校验结果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7</w:t>
            </w:r>
          </w:p>
        </w:tc>
        <w:tc>
          <w:tcPr>
            <w:tcW w:type="dxa" w:w="238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design-report-author-agent</w:t>
            </w:r>
          </w:p>
        </w:tc>
        <w:tc>
          <w:tcPr>
            <w:tcW w:type="dxa" w:w="42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证据收集和设计说明书DOCX生成。</w:t>
            </w:r>
          </w:p>
        </w:tc>
        <w:tc>
          <w:tcPr>
            <w:tcW w:type="dxa" w:w="340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design_report工具、local_file</w:t>
            </w:r>
          </w:p>
        </w:tc>
        <w:tc>
          <w:tcPr>
            <w:tcW w:type="dxa" w:w="300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设计说明书、证据清单</w:t>
            </w:r>
          </w:p>
        </w:tc>
      </w:tr>
    </w:tbl>
    <w:p>
      <w:pPr>
        <w:pStyle w:val="Heading1"/>
      </w:pPr>
      <w:r>
        <w:t>5. 子智能体架构与运行过程</w:t>
      </w:r>
    </w:p>
    <w:p>
      <w:pPr>
        <w:pStyle w:val="Heading2"/>
      </w:pPr>
      <w:r>
        <w:t>5.1 子智能体1：任务抓取与展示</w:t>
      </w:r>
    </w:p>
    <w:p>
      <w:pPr>
        <w:pStyle w:val="BodyText"/>
        <w:spacing w:after="100" w:line="283" w:lineRule="auto"/>
      </w:pPr>
      <w:r>
        <w:rPr>
          <w:rFonts w:ascii="Aptos" w:hAnsi="Aptos" w:eastAsia="Microsoft YaHei"/>
          <w:color w:val="1F2937"/>
          <w:sz w:val="20"/>
        </w:rPr>
        <w:t>从 IPM/QPP/ECR 等系统读取候选任务，保留原始任务内容，向主智能体返回完整任务快照。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7155"/>
        <w:gridCol w:w="7155"/>
      </w:tblGrid>
      <w:tr>
        <w:tc>
          <w:tcPr>
            <w:tcW w:type="dxa" w:w="1928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架构项</w:t>
            </w:r>
          </w:p>
        </w:tc>
        <w:tc>
          <w:tcPr>
            <w:tcW w:type="dxa" w:w="11906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说明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Agent文件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task-query-display-agent.md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Skill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enterprise-task-intake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工具白名单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query_ipm_list、connect_qpp、query_ecr_list、local_python_task_start/status、Read、Write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输出物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任务候选清单、被选任务快照、系统来源、原始字段、缺失字段提示。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验收关注点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候选任务丢失；字段被改写；来源系统混淆；慢查询超时后没有可解释提示。</w:t>
            </w:r>
          </w:p>
        </w:tc>
      </w:tr>
    </w:tbl>
    <w:p>
      <w:r>
        <w:br w:type="page"/>
      </w:r>
    </w:p>
    <w:p>
      <w:pPr>
        <w:pStyle w:val="Heading3"/>
      </w:pPr>
      <w:r>
        <w:t>子智能体1：任务抓取与展示架构图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29295" cy="57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query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295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图2：子智能体1：任务抓取与展示的软件结构、输入输出、工具依赖和日志回流。</w:t>
      </w:r>
    </w:p>
    <w:p>
      <w:r>
        <w:br w:type="page"/>
      </w:r>
    </w:p>
    <w:p>
      <w:pPr>
        <w:pStyle w:val="Heading3"/>
      </w:pPr>
      <w:r>
        <w:t>子智能体1：任务抓取与展示运行时序图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92000" cy="43191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query_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4319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图3：子智能体1：任务抓取与展示的运行时序、工具调用和证据记录过程。</w:t>
      </w:r>
    </w:p>
    <w:p>
      <w:pPr>
        <w:pStyle w:val="Heading2"/>
      </w:pPr>
      <w:r>
        <w:t>5.2 子智能体2：NX零部件模板调用</w:t>
      </w:r>
    </w:p>
    <w:p>
      <w:pPr>
        <w:pStyle w:val="BodyText"/>
        <w:spacing w:after="100" w:line="283" w:lineRule="auto"/>
      </w:pPr>
      <w:r>
        <w:rPr>
          <w:rFonts w:ascii="Aptos" w:hAnsi="Aptos" w:eastAsia="Microsoft YaHei"/>
          <w:color w:val="1F2937"/>
          <w:sz w:val="20"/>
        </w:rPr>
        <w:t>依据任务类型选择 Teamcenter/NX 模板，打开或新建零部件，并确认 NX WorkPart。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7155"/>
        <w:gridCol w:w="7155"/>
      </w:tblGrid>
      <w:tr>
        <w:tc>
          <w:tcPr>
            <w:tcW w:type="dxa" w:w="1928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架构项</w:t>
            </w:r>
          </w:p>
        </w:tc>
        <w:tc>
          <w:tcPr>
            <w:tcW w:type="dxa" w:w="11906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说明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Agent文件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nx-template-agent.md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Skill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template-source-selection、nx-workpart-confirmation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工具白名单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Teamcenter folder/classification/children、nx_open_tcpart、nx_open_part、nx_get_work_part_info、nx_create_new_part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输出物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模板来源、零件打开结果、WorkPart确认信息、新建部件标识。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验收关注点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模板选错；未确认 WorkPart；打开了图纸而不是模型；Teamcenter路径或分类口径不一致。</w:t>
            </w:r>
          </w:p>
        </w:tc>
      </w:tr>
    </w:tbl>
    <w:p>
      <w:r>
        <w:br w:type="page"/>
      </w:r>
    </w:p>
    <w:p>
      <w:pPr>
        <w:pStyle w:val="Heading3"/>
      </w:pPr>
      <w:r>
        <w:t>子智能体2：NX零部件模板调用架构图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89085" cy="57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late_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9085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图4：子智能体2：NX零部件模板调用的软件结构、输入输出、工具依赖和日志回流。</w:t>
      </w:r>
    </w:p>
    <w:p>
      <w:r>
        <w:br w:type="page"/>
      </w:r>
    </w:p>
    <w:p>
      <w:pPr>
        <w:pStyle w:val="Heading3"/>
      </w:pPr>
      <w:r>
        <w:t>子智能体2：NX零部件模板调用运行时序图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91999" cy="50741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late_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91999" cy="5074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图5：子智能体2：NX零部件模板调用的运行时序、工具调用和证据记录过程。</w:t>
      </w:r>
    </w:p>
    <w:p>
      <w:pPr>
        <w:pStyle w:val="Heading2"/>
      </w:pPr>
      <w:r>
        <w:t>5.3 子智能体3：参数智能化处理</w:t>
      </w:r>
    </w:p>
    <w:p>
      <w:pPr>
        <w:pStyle w:val="BodyText"/>
        <w:spacing w:after="100" w:line="283" w:lineRule="auto"/>
      </w:pPr>
      <w:r>
        <w:rPr>
          <w:rFonts w:ascii="Aptos" w:hAnsi="Aptos" w:eastAsia="Microsoft YaHei"/>
          <w:color w:val="1F2937"/>
          <w:sz w:val="20"/>
        </w:rPr>
        <w:t>抽取任务证据、使用权威公式计算参数，匹配 NX 表达式并产出参数写入计划。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7155"/>
        <w:gridCol w:w="7155"/>
      </w:tblGrid>
      <w:tr>
        <w:tc>
          <w:tcPr>
            <w:tcW w:type="dxa" w:w="1928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架构项</w:t>
            </w:r>
          </w:p>
        </w:tc>
        <w:tc>
          <w:tcPr>
            <w:tcW w:type="dxa" w:w="11906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说明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Agent文件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parameter-intelligence-agent.md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Skill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parameter-evidence-extraction、formula-parameter-calculation、parameter-write-plan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工具白名单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mysql_query、nx_get_work_part_info、nx_get_all_params_list、nx_get_drive_params_list、nx_find_params、nx_resolve_parameter、local_python_task_start/status、Read、Write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输出物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参数证据表、公式计算过程、表达式映射、写入计划、风险和人工确认项。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验收关注点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套用错误公式；单位换算错误；参数名匹配错；证据缺失但仍计算；把计划误写入 NX。</w:t>
            </w:r>
          </w:p>
        </w:tc>
      </w:tr>
    </w:tbl>
    <w:p>
      <w:r>
        <w:br w:type="page"/>
      </w:r>
    </w:p>
    <w:p>
      <w:pPr>
        <w:pStyle w:val="Heading3"/>
      </w:pPr>
      <w:r>
        <w:t>子智能体3：参数智能化处理架构图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97837" cy="57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ers_ar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7837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图6：子智能体3：参数智能化处理的软件结构、输入输出、工具依赖和日志回流。</w:t>
      </w:r>
    </w:p>
    <w:p>
      <w:r>
        <w:br w:type="page"/>
      </w:r>
    </w:p>
    <w:p>
      <w:pPr>
        <w:pStyle w:val="Heading3"/>
      </w:pPr>
      <w:r>
        <w:t>子智能体3：参数智能化处理运行时序图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92000" cy="4252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ers_work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4252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图7：子智能体3：参数智能化处理的运行时序、工具调用和证据记录过程。</w:t>
      </w:r>
    </w:p>
    <w:p>
      <w:pPr>
        <w:pStyle w:val="Heading2"/>
      </w:pPr>
      <w:r>
        <w:t>5.4 子智能体4：参数化建模及TC回传</w:t>
      </w:r>
    </w:p>
    <w:p>
      <w:pPr>
        <w:pStyle w:val="BodyText"/>
        <w:spacing w:after="100" w:line="283" w:lineRule="auto"/>
      </w:pPr>
      <w:r>
        <w:rPr>
          <w:rFonts w:ascii="Aptos" w:hAnsi="Aptos" w:eastAsia="Microsoft YaHei"/>
          <w:color w:val="1F2937"/>
          <w:sz w:val="20"/>
        </w:rPr>
        <w:t>执行已确认的参数写入计划，回读 NX 参数与模型状态，保存并回传 Teamcenter。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7155"/>
        <w:gridCol w:w="7155"/>
      </w:tblGrid>
      <w:tr>
        <w:tc>
          <w:tcPr>
            <w:tcW w:type="dxa" w:w="1928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架构项</w:t>
            </w:r>
          </w:p>
        </w:tc>
        <w:tc>
          <w:tcPr>
            <w:tcW w:type="dxa" w:w="11906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说明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Agent文件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nx-modeling-tc-agent.md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Skill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nx-parameter-execution、tc-release-preparation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工具白名单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NX read/resolve/update/batch/create/save、Teamcenter upload/copy/export/personnel、local_file_exists/read_bytes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输出物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写入前后对比、NX保存结果、Teamcenter回传对象、失败回滚/阻断说明。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验收关注点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未按计划写入；未回读验证；保存失败未阻断；Teamcenter上传对象错误；把计算职责混入执行阶段。</w:t>
            </w:r>
          </w:p>
        </w:tc>
      </w:tr>
    </w:tbl>
    <w:p>
      <w:r>
        <w:br w:type="page"/>
      </w:r>
    </w:p>
    <w:p>
      <w:pPr>
        <w:pStyle w:val="Heading3"/>
      </w:pPr>
      <w:r>
        <w:t>子智能体4：参数化建模及TC回传架构图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01884" cy="5759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ing_ar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01884" cy="57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图8：子智能体4：参数化建模及TC回传的软件结构、输入输出、工具依赖和日志回流。</w:t>
      </w:r>
    </w:p>
    <w:p>
      <w:r>
        <w:br w:type="page"/>
      </w:r>
    </w:p>
    <w:p>
      <w:pPr>
        <w:pStyle w:val="Heading3"/>
      </w:pPr>
      <w:r>
        <w:t>子智能体4：参数化建模及TC回传运行时序图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92000" cy="52104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ing_work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521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图9：子智能体4：参数化建模及TC回传的运行时序、工具调用和证据记录过程。</w:t>
      </w:r>
    </w:p>
    <w:p>
      <w:pPr>
        <w:pStyle w:val="Heading2"/>
      </w:pPr>
      <w:r>
        <w:t>5.5 子智能体5：二维图纸自动绘制</w:t>
      </w:r>
    </w:p>
    <w:p>
      <w:pPr>
        <w:pStyle w:val="BodyText"/>
        <w:spacing w:after="100" w:line="283" w:lineRule="auto"/>
      </w:pPr>
      <w:r>
        <w:rPr>
          <w:rFonts w:ascii="Aptos" w:hAnsi="Aptos" w:eastAsia="Microsoft YaHei"/>
          <w:color w:val="1F2937"/>
          <w:sz w:val="20"/>
        </w:rPr>
        <w:t>选择 Teamcenter 图纸/规范，打开 NX 图纸视图并生成截图证据，不承担建模和DFMEA职责。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7155"/>
        <w:gridCol w:w="7155"/>
      </w:tblGrid>
      <w:tr>
        <w:tc>
          <w:tcPr>
            <w:tcW w:type="dxa" w:w="1928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架构项</w:t>
            </w:r>
          </w:p>
        </w:tc>
        <w:tc>
          <w:tcPr>
            <w:tcW w:type="dxa" w:w="11906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说明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Agent文件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drawing-update-agent.md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Skill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tc-drawing-selection、nx-view-screenshot-evidence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工具白名单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TC children/export、NX open TC drawing、get views、switch、fit、create image、get/set style、local_file_exists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输出物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图纸对象、视图清单、样式状态、截图证据、缺失视图/规范说明。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验收关注点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选错图纸版本；视图为空；截图不清晰或没有视图上下文；样式变更未还原；图纸缺失未向用户确认。</w:t>
            </w:r>
          </w:p>
        </w:tc>
      </w:tr>
    </w:tbl>
    <w:p>
      <w:r>
        <w:br w:type="page"/>
      </w:r>
    </w:p>
    <w:p>
      <w:pPr>
        <w:pStyle w:val="Heading3"/>
      </w:pPr>
      <w:r>
        <w:t>子智能体5：二维图纸自动绘制架构图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85145" cy="57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arc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5145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图10：子智能体5：二维图纸自动绘制的软件结构、输入输出、工具依赖和日志回流。</w:t>
      </w:r>
    </w:p>
    <w:p>
      <w:r>
        <w:br w:type="page"/>
      </w:r>
    </w:p>
    <w:p>
      <w:pPr>
        <w:pStyle w:val="Heading3"/>
      </w:pPr>
      <w:r>
        <w:t>子智能体5：二维图纸自动绘制运行时序图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92000" cy="437501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work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4375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图11：子智能体5：二维图纸自动绘制的运行时序、工具调用和证据记录过程。</w:t>
      </w:r>
    </w:p>
    <w:p>
      <w:pPr>
        <w:pStyle w:val="Heading2"/>
      </w:pPr>
      <w:r>
        <w:t>5.6 子智能体6：DFMEA自动编写</w:t>
      </w:r>
    </w:p>
    <w:p>
      <w:pPr>
        <w:pStyle w:val="BodyText"/>
        <w:spacing w:after="100" w:line="283" w:lineRule="auto"/>
      </w:pPr>
      <w:r>
        <w:rPr>
          <w:rFonts w:ascii="Aptos" w:hAnsi="Aptos" w:eastAsia="Microsoft YaHei"/>
          <w:color w:val="1F2937"/>
          <w:sz w:val="20"/>
        </w:rPr>
        <w:t>基于受控模板和风险规则生成 DFMEA 工作簿，并通过模板校验。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7155"/>
        <w:gridCol w:w="7155"/>
      </w:tblGrid>
      <w:tr>
        <w:tc>
          <w:tcPr>
            <w:tcW w:type="dxa" w:w="1928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架构项</w:t>
            </w:r>
          </w:p>
        </w:tc>
        <w:tc>
          <w:tcPr>
            <w:tcW w:type="dxa" w:w="11906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说明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Agent文件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dfmea-author-agent.md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Skill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dfmea-risk-authoring、dfmea-workbook-generation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工具白名单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TC children/export、dfmea_template_list/inspect/select/calculate_risk/fill_template/validate_workbook、local_file_exists/read_bytes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输出物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DFMEA XLSX、风险计算记录、模板校验结果、缺失证据和人工确认项。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验收关注点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不用受控模板；风险分值不合规；字段空缺未阻断；模板校验失败仍交付；事实来源不明。</w:t>
            </w:r>
          </w:p>
        </w:tc>
      </w:tr>
    </w:tbl>
    <w:p>
      <w:r>
        <w:br w:type="page"/>
      </w:r>
    </w:p>
    <w:p>
      <w:pPr>
        <w:pStyle w:val="Heading3"/>
      </w:pPr>
      <w:r>
        <w:t>子智能体6：DFMEA自动编写架构图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62008" cy="57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mea_arc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62008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图12：子智能体6：DFMEA自动编写的软件结构、输入输出、工具依赖和日志回流。</w:t>
      </w:r>
    </w:p>
    <w:p>
      <w:r>
        <w:br w:type="page"/>
      </w:r>
    </w:p>
    <w:p>
      <w:pPr>
        <w:pStyle w:val="Heading3"/>
      </w:pPr>
      <w:r>
        <w:t>子智能体6：DFMEA自动编写运行时序图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92000" cy="469666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mea_workf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469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图13：子智能体6：DFMEA自动编写的运行时序、工具调用和证据记录过程。</w:t>
      </w:r>
    </w:p>
    <w:p>
      <w:pPr>
        <w:pStyle w:val="Heading2"/>
      </w:pPr>
      <w:r>
        <w:t>5.7 子智能体7：设计说明书自动编写</w:t>
      </w:r>
    </w:p>
    <w:p>
      <w:pPr>
        <w:pStyle w:val="BodyText"/>
        <w:spacing w:after="100" w:line="283" w:lineRule="auto"/>
      </w:pPr>
      <w:r>
        <w:rPr>
          <w:rFonts w:ascii="Aptos" w:hAnsi="Aptos" w:eastAsia="Microsoft YaHei"/>
          <w:color w:val="1F2937"/>
          <w:sz w:val="20"/>
        </w:rPr>
        <w:t>汇总任务、参数、模型、图纸、DFMEA等证据，按设计说明书模板生成 DOCX。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7155"/>
        <w:gridCol w:w="7155"/>
      </w:tblGrid>
      <w:tr>
        <w:tc>
          <w:tcPr>
            <w:tcW w:type="dxa" w:w="1928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架构项</w:t>
            </w:r>
          </w:p>
        </w:tc>
        <w:tc>
          <w:tcPr>
            <w:tcW w:type="dxa" w:w="11906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说明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Agent文件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design-report-author-agent.md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Skill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report-evidence-collection、report-docx-generation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工具白名单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design_report_template_inspect/start/collect/decrypt_image/answer/status/generate/update/get_artifact、local_file_exists/read_bytes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输出物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设计说明书 DOCX、证据引用清单、图片解密/引用结果、待用户确认项。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验收关注点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引用了未确认事实；图片缺失或打不开；模板章节缺失；生成状态未完成就交付；报告与模型/DFMEA不一致。</w:t>
            </w:r>
          </w:p>
        </w:tc>
      </w:tr>
    </w:tbl>
    <w:p>
      <w:r>
        <w:br w:type="page"/>
      </w:r>
    </w:p>
    <w:p>
      <w:pPr>
        <w:pStyle w:val="Heading3"/>
      </w:pPr>
      <w:r>
        <w:t>子智能体7：设计说明书自动编写架构图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41048" cy="576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arc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41048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图14：子智能体7：设计说明书自动编写的软件结构、输入输出、工具依赖和日志回流。</w:t>
      </w:r>
    </w:p>
    <w:p>
      <w:r>
        <w:br w:type="page"/>
      </w:r>
    </w:p>
    <w:p>
      <w:pPr>
        <w:pStyle w:val="Heading3"/>
      </w:pPr>
      <w:r>
        <w:t>子智能体7：设计说明书自动编写运行时序图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92000" cy="50166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workflo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5016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图15：子智能体7：设计说明书自动编写的运行时序、工具调用和证据记录过程。</w:t>
      </w:r>
    </w:p>
    <w:p>
      <w:pPr>
        <w:pStyle w:val="Heading1"/>
      </w:pPr>
      <w:r>
        <w:t>6. 项目验收建议检查项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4770"/>
        <w:gridCol w:w="4770"/>
        <w:gridCol w:w="4770"/>
      </w:tblGrid>
      <w:tr>
        <w:tc>
          <w:tcPr>
            <w:tcW w:type="dxa" w:w="2551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检查项</w:t>
            </w:r>
          </w:p>
        </w:tc>
        <w:tc>
          <w:tcPr>
            <w:tcW w:type="dxa" w:w="5669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验收方法</w:t>
            </w:r>
          </w:p>
        </w:tc>
        <w:tc>
          <w:tcPr>
            <w:tcW w:type="dxa" w:w="5669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通过标准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入口和路由</w:t>
            </w:r>
          </w:p>
        </w:tc>
        <w:tc>
          <w:tcPr>
            <w:tcW w:type="dxa" w:w="56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检查plugin.json默认agent和design-agent工具列表。</w:t>
            </w:r>
          </w:p>
        </w:tc>
        <w:tc>
          <w:tcPr>
            <w:tcW w:type="dxa" w:w="56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默认入口为design-agent，且只能分派7个子智能体和AskUserQuestion。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职责隔离</w:t>
            </w:r>
          </w:p>
        </w:tc>
        <w:tc>
          <w:tcPr>
            <w:tcW w:type="dxa" w:w="56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逐个检查Agent文件中的工具白名单和禁止事项。</w:t>
            </w:r>
          </w:p>
        </w:tc>
        <w:tc>
          <w:tcPr>
            <w:tcW w:type="dxa" w:w="56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子智能体工具权限与职责一致；参数计算Agent不写NX，建模Agent不重新计算参数。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运行证据</w:t>
            </w:r>
          </w:p>
        </w:tc>
        <w:tc>
          <w:tcPr>
            <w:tcW w:type="dxa" w:w="56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抽查conversation JSONL和summary。</w:t>
            </w:r>
          </w:p>
        </w:tc>
        <w:tc>
          <w:tcPr>
            <w:tcW w:type="dxa" w:w="56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能看到turn、mcp_tool、tool_events、mcp_batches、last_error和artifact路径。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交付物证据</w:t>
            </w:r>
          </w:p>
        </w:tc>
        <w:tc>
          <w:tcPr>
            <w:tcW w:type="dxa" w:w="56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抽查模型、截图、DFMEA、设计说明书等输出。</w:t>
            </w:r>
          </w:p>
        </w:tc>
        <w:tc>
          <w:tcPr>
            <w:tcW w:type="dxa" w:w="56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交付物能回溯到对应工具调用、用户确认和任务场景。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异常处理</w:t>
            </w:r>
          </w:p>
        </w:tc>
        <w:tc>
          <w:tcPr>
            <w:tcW w:type="dxa" w:w="56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使用评测工作台中的异常场景。</w:t>
            </w:r>
          </w:p>
        </w:tc>
        <w:tc>
          <w:tcPr>
            <w:tcW w:type="dxa" w:w="56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失败时不空白、不伪造结果，能给出阻断原因和下一步确认项。</w:t>
            </w:r>
          </w:p>
        </w:tc>
      </w:tr>
    </w:tbl>
    <w:p>
      <w:pPr>
        <w:pStyle w:val="Heading1"/>
      </w:pPr>
      <w:r>
        <w:t>7. 文件位置</w:t>
      </w:r>
    </w:p>
    <w:p>
      <w:pPr>
        <w:pStyle w:val="BodyText"/>
        <w:spacing w:after="100" w:line="283" w:lineRule="auto"/>
      </w:pPr>
      <w:r>
        <w:rPr>
          <w:rFonts w:ascii="Aptos" w:hAnsi="Aptos" w:eastAsia="Microsoft YaHei"/>
          <w:color w:val="1F2937"/>
          <w:sz w:val="20"/>
        </w:rPr>
        <w:t>本文输出文件：</w:t>
      </w:r>
    </w:p>
    <w:p>
      <w:pPr>
        <w:pStyle w:val="BodyText"/>
      </w:pPr>
      <w:r>
        <w:rPr>
          <w:rFonts w:ascii="Consolas" w:hAnsi="Consolas" w:eastAsia="Microsoft YaHei"/>
          <w:color w:val="1F4E79"/>
          <w:sz w:val="17"/>
        </w:rPr>
        <w:t>E:\A0_Projects\A1_Dynamics_Design_LM\mc-design\output\agent-stability-guide-20260626\零部件设计智能体软件模型架构说明书-Mermaid截图优化版.docx</w:t>
      </w:r>
    </w:p>
    <w:sectPr w:rsidR="00FC693F" w:rsidRPr="0006063C" w:rsidSect="00034616">
      <w:pgSz w:w="15840" w:h="12240" w:orient="landscape"/>
      <w:pgMar w:top="765" w:right="765" w:bottom="68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ptos" w:hAnsi="Aptos" w:eastAsia="Microsoft YaHe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69" w:lineRule="auto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269" w:lineRule="auto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9" w:lineRule="auto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69" w:lineRule="auto" w:before="240"/>
      <w:contextualSpacing/>
    </w:pPr>
    <w:rPr>
      <w:rFonts w:asciiTheme="majorHAnsi" w:eastAsiaTheme="majorEastAsia" w:hAnsiTheme="majorHAnsi" w:cstheme="majorBidi" w:ascii="Aptos" w:hAnsi="Aptos" w:eastAsia="Microsoft Ya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83" w:lineRule="auto"/>
    </w:pPr>
    <w:rPr>
      <w:rFonts w:ascii="Aptos" w:hAnsi="Aptos" w:eastAsia="Microsoft YaHei"/>
      <w:color w:val="1F2937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83" w:lineRule="auto"/>
      <w:contextualSpacing/>
    </w:pPr>
    <w:rPr>
      <w:rFonts w:ascii="Aptos" w:hAnsi="Aptos" w:eastAsia="Microsoft YaHei"/>
      <w:color w:val="1F2937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83" w:lineRule="auto"/>
      <w:contextualSpacing/>
    </w:pPr>
    <w:rPr>
      <w:rFonts w:ascii="Aptos" w:hAnsi="Aptos" w:eastAsia="Microsoft YaHei"/>
      <w:color w:val="1F2937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