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Microsoft YaHei" w:hAnsi="Microsoft YaHei" w:eastAsia="Microsoft YaHei"/>
          <w:b/>
          <w:color w:val="000000"/>
          <w:sz w:val="48"/>
        </w:rPr>
        <w:t>玉柴系统工具说明模板</w:t>
      </w:r>
    </w:p>
    <w:p>
      <w:pPr>
        <w:spacing w:after="240"/>
      </w:pPr>
      <w:r>
        <w:rPr>
          <w:rFonts w:ascii="Microsoft YaHei" w:hAnsi="Microsoft YaHei" w:eastAsia="Microsoft YaHei"/>
          <w:color w:val="5B6673"/>
          <w:sz w:val="25"/>
        </w:rPr>
        <w:t>IPM / QPP / ECS / TC 相关工具完整说明填报模板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填写内容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工具名称</w:t>
            </w:r>
          </w:p>
        </w:tc>
        <w:tc>
          <w:tcPr>
            <w:tcW w:type="dxa" w:w="7128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{{工具中文名称 / 英文名称}}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工具标识</w:t>
            </w:r>
          </w:p>
        </w:tc>
        <w:tc>
          <w:tcPr>
            <w:tcW w:type="dxa" w:w="7128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{{tool_id / API path / function name}}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所属系统</w:t>
            </w:r>
          </w:p>
        </w:tc>
        <w:tc>
          <w:tcPr>
            <w:tcW w:type="dxa" w:w="7128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{{IPM / QPP / ECS / TC，可多选}}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版本</w:t>
            </w:r>
          </w:p>
        </w:tc>
        <w:tc>
          <w:tcPr>
            <w:tcW w:type="dxa" w:w="7128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{{version}}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维护人</w:t>
            </w:r>
          </w:p>
        </w:tc>
        <w:tc>
          <w:tcPr>
            <w:tcW w:type="dxa" w:w="7128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{{owner / team}}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更新时间</w:t>
            </w:r>
          </w:p>
        </w:tc>
        <w:tc>
          <w:tcPr>
            <w:tcW w:type="dxa" w:w="7128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{{yyyy-mm-dd}}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填写要求</w:t>
            </w:r>
          </w:p>
          <w:p>
            <w:pPr>
              <w:spacing w:after="40"/>
              <w:ind w:left="144"/>
            </w:pPr>
            <w:r>
              <w:rPr>
                <w:rFonts w:ascii="Microsoft YaHei" w:hAnsi="Microsoft YaHei" w:eastAsia="Microsoft YaHei"/>
                <w:color w:val="1F2933"/>
                <w:sz w:val="19"/>
              </w:rPr>
              <w:t>每个工具单独复制一份本模板，字段说明必须逐项填写。</w:t>
            </w:r>
          </w:p>
          <w:p>
            <w:pPr>
              <w:spacing w:after="40"/>
              <w:ind w:left="144"/>
            </w:pPr>
            <w:r>
              <w:rPr>
                <w:rFonts w:ascii="Microsoft YaHei" w:hAnsi="Microsoft YaHei" w:eastAsia="Microsoft YaHei"/>
                <w:color w:val="1F2933"/>
                <w:sz w:val="19"/>
              </w:rPr>
              <w:t>示例必须可以复现；错误码、权限限制、数据范围需来自真实系统或接口约定。</w:t>
            </w:r>
          </w:p>
          <w:p>
            <w:pPr>
              <w:spacing w:after="40"/>
              <w:ind w:left="144"/>
            </w:pPr>
            <w:r>
              <w:rPr>
                <w:rFonts w:ascii="Microsoft YaHei" w:hAnsi="Microsoft YaHei" w:eastAsia="Microsoft YaHei"/>
                <w:color w:val="1F2933"/>
                <w:sz w:val="19"/>
              </w:rPr>
              <w:t>不确定的信息不要空着，统一填写“待确认”，并补充待确认责任人或来源。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1. 工具总体描述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1.1 工具一句话说明</w:t>
      </w:r>
    </w:p>
    <w:p>
      <w:r>
        <w:rPr>
          <w:rFonts w:ascii="Microsoft YaHei" w:hAnsi="Microsoft YaHei" w:eastAsia="Microsoft YaHei"/>
          <w:b w:val="0"/>
          <w:i w:val="0"/>
          <w:color w:val="1F2933"/>
        </w:rPr>
        <w:t>{{用一句话说明该工具是做什么的。示例：用于根据物料编码查询玉柴系统中的物料基础信息、状态和关联业务数据。}}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1.2 工具主要作用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3"/>
          <w:sz w:val="21"/>
        </w:rPr>
        <w:t>{{作用 1}}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3"/>
          <w:sz w:val="21"/>
        </w:rPr>
        <w:t>{{作用 2}}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3"/>
          <w:sz w:val="21"/>
        </w:rPr>
        <w:t>{{作用 3}}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1.3 能解决的问题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3"/>
          <w:sz w:val="21"/>
        </w:rPr>
        <w:t>{{问题 1}}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3"/>
          <w:sz w:val="21"/>
        </w:rPr>
        <w:t>{{问题 2}}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3"/>
          <w:sz w:val="21"/>
        </w:rPr>
        <w:t>{{问题 3}}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2. 使用场景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2.1 适合使用的场景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</w:tblPr>
      <w:tblGrid>
        <w:gridCol w:w="2160"/>
        <w:gridCol w:w="4320"/>
        <w:gridCol w:w="2880"/>
      </w:tblGrid>
      <w:tr>
        <w:trPr>
          <w:tblHeader w:val="true"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场景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说明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示例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{{场景 1}}</w:t>
            </w:r>
          </w:p>
        </w:tc>
        <w:tc>
          <w:tcPr>
            <w:tcW w:type="dxa" w:w="432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{{说明该场景下为什么需要调用本工具}}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{{真实或可复现示例}}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{{场景 2}}</w:t>
            </w:r>
          </w:p>
        </w:tc>
        <w:tc>
          <w:tcPr>
            <w:tcW w:type="dxa" w:w="432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{{说明}}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{{示例}}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2.2 不适合使用的场景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</w:tblPr>
      <w:tblGrid>
        <w:gridCol w:w="2376"/>
        <w:gridCol w:w="3528"/>
        <w:gridCol w:w="3456"/>
      </w:tblGrid>
      <w:tr>
        <w:trPr>
          <w:tblHeader w:val="true"/>
        </w:trP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不适用场景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原因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建议替代方式</w:t>
            </w:r>
          </w:p>
        </w:tc>
      </w:tr>
      <w:tr>
        <w:tc>
          <w:tcPr>
            <w:tcW w:type="dxa" w:w="2376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{{不适用场景 1}}</w:t>
            </w:r>
          </w:p>
        </w:tc>
        <w:tc>
          <w:tcPr>
            <w:tcW w:type="dxa" w:w="3528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{{为什么不能或不应该用本工具}}</w:t>
            </w:r>
          </w:p>
        </w:tc>
        <w:tc>
          <w:tcPr>
            <w:tcW w:type="dxa" w:w="3456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{{替代工具 / 人工流程 / 上游系统}}</w:t>
            </w:r>
          </w:p>
        </w:tc>
      </w:tr>
      <w:tr>
        <w:tc>
          <w:tcPr>
            <w:tcW w:type="dxa" w:w="2376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{{不适用场景 2}}</w:t>
            </w:r>
          </w:p>
        </w:tc>
        <w:tc>
          <w:tcPr>
            <w:tcW w:type="dxa" w:w="3528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{{原因}}</w:t>
            </w:r>
          </w:p>
        </w:tc>
        <w:tc>
          <w:tcPr>
            <w:tcW w:type="dxa" w:w="3456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{{替代方式}}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3. 工具能力边界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3.1 当前支持能力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3"/>
          <w:sz w:val="21"/>
        </w:rPr>
        <w:t>{{支持能力 1}}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3"/>
          <w:sz w:val="21"/>
        </w:rPr>
        <w:t>{{支持能力 2}}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3"/>
          <w:sz w:val="21"/>
        </w:rPr>
        <w:t>{{支持能力 3}}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3.2 当前不支持能力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3"/>
          <w:sz w:val="21"/>
        </w:rPr>
        <w:t>{{不支持能力 1}}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3"/>
          <w:sz w:val="21"/>
        </w:rPr>
        <w:t>{{不支持能力 2}}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3"/>
          <w:sz w:val="21"/>
        </w:rPr>
        <w:t>{{不支持能力 3}}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3.3 数据范围限制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限制项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系统范围</w:t>
            </w:r>
          </w:p>
        </w:tc>
        <w:tc>
          <w:tcPr>
            <w:tcW w:type="dxa" w:w="7128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{{例如：仅支持 IPM，不支持 QPP/ECS/TC；或支持多个系统但字段不同}}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时间范围</w:t>
            </w:r>
          </w:p>
        </w:tc>
        <w:tc>
          <w:tcPr>
            <w:tcW w:type="dxa" w:w="7128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{{例如：仅支持最近 3 年数据 / 历史全量 / T+1 数据}}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组织范围</w:t>
            </w:r>
          </w:p>
        </w:tc>
        <w:tc>
          <w:tcPr>
            <w:tcW w:type="dxa" w:w="7128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{{例如：仅支持指定工厂、事业部、产品线或供应商范围}}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权限范围</w:t>
            </w:r>
          </w:p>
        </w:tc>
        <w:tc>
          <w:tcPr>
            <w:tcW w:type="dxa" w:w="7128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{{例如：只能查询当前用户有权限的数据}}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数据实时性</w:t>
            </w:r>
          </w:p>
        </w:tc>
        <w:tc>
          <w:tcPr>
            <w:tcW w:type="dxa" w:w="7128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{{例如：实时 / 同步延迟约 1 小时 / 每日凌晨同步}}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4. 调用前提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前提项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权限要求</w:t>
            </w:r>
          </w:p>
        </w:tc>
        <w:tc>
          <w:tcPr>
            <w:tcW w:type="dxa" w:w="7128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{{调用该工具需要的账号、角色、菜单权限、接口权限或审批流程}}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依赖系统</w:t>
            </w:r>
          </w:p>
        </w:tc>
        <w:tc>
          <w:tcPr>
            <w:tcW w:type="dxa" w:w="7128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{{依赖 IPM/QPP/ECS/TC 中哪些模块、接口或数据同步任务}}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前置数据</w:t>
            </w:r>
          </w:p>
        </w:tc>
        <w:tc>
          <w:tcPr>
            <w:tcW w:type="dxa" w:w="7128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{{调用前必须准备哪些编码、单号、组织、时间等数据}}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网络要求</w:t>
            </w:r>
          </w:p>
        </w:tc>
        <w:tc>
          <w:tcPr>
            <w:tcW w:type="dxa" w:w="7128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{{内网、VPN、白名单、专线、环境隔离等}}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频率限制</w:t>
            </w:r>
          </w:p>
        </w:tc>
        <w:tc>
          <w:tcPr>
            <w:tcW w:type="dxa" w:w="7128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{{QPS、每日调用量、并发限制、批量上限等}}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5. 入参说明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5.1 入参结构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1E7EF"/>
          <w:left w:val="single" w:sz="4" w:space="0" w:color="E1E7EF"/>
          <w:bottom w:val="single" w:sz="4" w:space="0" w:color="E1E7EF"/>
          <w:right w:val="single" w:sz="4" w:space="0" w:color="E1E7EF"/>
          <w:insideH w:val="single" w:sz="4" w:space="0" w:color="E1E7EF"/>
          <w:insideV w:val="single" w:sz="4" w:space="0" w:color="E1E7EF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Microsoft YaHei"/>
                <w:color w:val="22303C"/>
                <w:sz w:val="18"/>
              </w:rPr>
              <w:t>{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2303C"/>
                <w:sz w:val="18"/>
              </w:rPr>
              <w:t xml:space="preserve">  "{{field_1}}": "{{value}}",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2303C"/>
                <w:sz w:val="18"/>
              </w:rPr>
              <w:t xml:space="preserve">  "{{field_2}}": "{{value}}"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2303C"/>
                <w:sz w:val="18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5.2 入参字段说明</w:t>
      </w:r>
    </w:p>
    <w:tbl>
      <w:tblPr>
        <w:tblW w:type="dxa" w:w="9359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</w:tblPr>
      <w:tblGrid>
        <w:gridCol w:w="1440"/>
        <w:gridCol w:w="1080"/>
        <w:gridCol w:w="864"/>
        <w:gridCol w:w="1655"/>
        <w:gridCol w:w="1584"/>
        <w:gridCol w:w="2736"/>
      </w:tblGrid>
      <w:tr>
        <w:trPr>
          <w:tblHeader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字段名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类型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必填</w:t>
            </w:r>
          </w:p>
        </w:tc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默认/范围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示例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字段说明/校验规则</w:t>
            </w:r>
          </w:p>
        </w:tc>
      </w:tr>
      <w:tr>
        <w:tc>
          <w:tcPr>
            <w:tcW w:type="dxa" w:w="144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{{field_1}}</w:t>
            </w:r>
          </w:p>
        </w:tc>
        <w:tc>
          <w:tcPr>
            <w:tcW w:type="dxa" w:w="108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string</w:t>
            </w:r>
          </w:p>
        </w:tc>
        <w:tc>
          <w:tcPr>
            <w:tcW w:type="dxa" w:w="864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是</w:t>
            </w:r>
          </w:p>
        </w:tc>
        <w:tc>
          <w:tcPr>
            <w:tcW w:type="dxa" w:w="165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{{取值范围}}</w:t>
            </w:r>
          </w:p>
        </w:tc>
        <w:tc>
          <w:tcPr>
            <w:tcW w:type="dxa" w:w="1584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{{示例}}</w:t>
            </w:r>
          </w:p>
        </w:tc>
        <w:tc>
          <w:tcPr>
            <w:tcW w:type="dxa" w:w="2736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{{字段含义；长度、格式、枚举、空值处理等校验规则}}</w:t>
            </w:r>
          </w:p>
        </w:tc>
      </w:tr>
      <w:tr>
        <w:tc>
          <w:tcPr>
            <w:tcW w:type="dxa" w:w="144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{{field_2}}</w:t>
            </w:r>
          </w:p>
        </w:tc>
        <w:tc>
          <w:tcPr>
            <w:tcW w:type="dxa" w:w="108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number</w:t>
            </w:r>
          </w:p>
        </w:tc>
        <w:tc>
          <w:tcPr>
            <w:tcW w:type="dxa" w:w="864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否</w:t>
            </w:r>
          </w:p>
        </w:tc>
        <w:tc>
          <w:tcPr>
            <w:tcW w:type="dxa" w:w="165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{{默认值 / 范围}}</w:t>
            </w:r>
          </w:p>
        </w:tc>
        <w:tc>
          <w:tcPr>
            <w:tcW w:type="dxa" w:w="1584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{{示例}}</w:t>
            </w:r>
          </w:p>
        </w:tc>
        <w:tc>
          <w:tcPr>
            <w:tcW w:type="dxa" w:w="2736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{{字段含义；非法值如何处理}}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5.3 入参注意事项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3"/>
          <w:sz w:val="21"/>
        </w:rPr>
        <w:t>{{注意事项 1}}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3"/>
          <w:sz w:val="21"/>
        </w:rPr>
        <w:t>{{注意事项 2}}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3"/>
          <w:sz w:val="21"/>
        </w:rPr>
        <w:t>{{注意事项 3}}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6. 出参说明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6.1 成功返回示例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1E7EF"/>
          <w:left w:val="single" w:sz="4" w:space="0" w:color="E1E7EF"/>
          <w:bottom w:val="single" w:sz="4" w:space="0" w:color="E1E7EF"/>
          <w:right w:val="single" w:sz="4" w:space="0" w:color="E1E7EF"/>
          <w:insideH w:val="single" w:sz="4" w:space="0" w:color="E1E7EF"/>
          <w:insideV w:val="single" w:sz="4" w:space="0" w:color="E1E7EF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Microsoft YaHei"/>
                <w:color w:val="22303C"/>
                <w:sz w:val="18"/>
              </w:rPr>
              <w:t>{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2303C"/>
                <w:sz w:val="18"/>
              </w:rPr>
              <w:t xml:space="preserve">  "code": "200",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2303C"/>
                <w:sz w:val="18"/>
              </w:rPr>
              <w:t xml:space="preserve">  "message": "success",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2303C"/>
                <w:sz w:val="18"/>
              </w:rPr>
              <w:t xml:space="preserve">  "data": {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2303C"/>
                <w:sz w:val="18"/>
              </w:rPr>
              <w:t xml:space="preserve">    "{{result_field_1}}": "{{value}}",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2303C"/>
                <w:sz w:val="18"/>
              </w:rPr>
              <w:t xml:space="preserve">    "{{result_field_2}}": "{{value}}"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2303C"/>
                <w:sz w:val="18"/>
              </w:rPr>
              <w:t xml:space="preserve">  }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2303C"/>
                <w:sz w:val="18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6.2 出参字段说明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</w:tblPr>
      <w:tblGrid>
        <w:gridCol w:w="2232"/>
        <w:gridCol w:w="1440"/>
        <w:gridCol w:w="1296"/>
        <w:gridCol w:w="1728"/>
        <w:gridCol w:w="2664"/>
      </w:tblGrid>
      <w:tr>
        <w:trPr>
          <w:tblHeader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字段名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类型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一定返回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示例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字段说明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code</w:t>
            </w:r>
          </w:p>
        </w:tc>
        <w:tc>
          <w:tcPr>
            <w:tcW w:type="dxa" w:w="144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string</w:t>
            </w:r>
          </w:p>
        </w:tc>
        <w:tc>
          <w:tcPr>
            <w:tcW w:type="dxa" w:w="1296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是</w:t>
            </w:r>
          </w:p>
        </w:tc>
        <w:tc>
          <w:tcPr>
            <w:tcW w:type="dxa" w:w="1728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200</w:t>
            </w:r>
          </w:p>
        </w:tc>
        <w:tc>
          <w:tcPr>
            <w:tcW w:type="dxa" w:w="2664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返回状态码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message</w:t>
            </w:r>
          </w:p>
        </w:tc>
        <w:tc>
          <w:tcPr>
            <w:tcW w:type="dxa" w:w="144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string</w:t>
            </w:r>
          </w:p>
        </w:tc>
        <w:tc>
          <w:tcPr>
            <w:tcW w:type="dxa" w:w="1296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是</w:t>
            </w:r>
          </w:p>
        </w:tc>
        <w:tc>
          <w:tcPr>
            <w:tcW w:type="dxa" w:w="1728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success</w:t>
            </w:r>
          </w:p>
        </w:tc>
        <w:tc>
          <w:tcPr>
            <w:tcW w:type="dxa" w:w="2664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返回信息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data</w:t>
            </w:r>
          </w:p>
        </w:tc>
        <w:tc>
          <w:tcPr>
            <w:tcW w:type="dxa" w:w="144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object / array</w:t>
            </w:r>
          </w:p>
        </w:tc>
        <w:tc>
          <w:tcPr>
            <w:tcW w:type="dxa" w:w="1296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否</w:t>
            </w:r>
          </w:p>
        </w:tc>
        <w:tc>
          <w:tcPr>
            <w:tcW w:type="dxa" w:w="1728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{}</w:t>
            </w:r>
          </w:p>
        </w:tc>
        <w:tc>
          <w:tcPr>
            <w:tcW w:type="dxa" w:w="2664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业务数据主体；无数据时按 6.3 说明返回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data.{{result_field_1}}</w:t>
            </w:r>
          </w:p>
        </w:tc>
        <w:tc>
          <w:tcPr>
            <w:tcW w:type="dxa" w:w="144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string</w:t>
            </w:r>
          </w:p>
        </w:tc>
        <w:tc>
          <w:tcPr>
            <w:tcW w:type="dxa" w:w="1296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是</w:t>
            </w:r>
          </w:p>
        </w:tc>
        <w:tc>
          <w:tcPr>
            <w:tcW w:type="dxa" w:w="1728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{{示例}}</w:t>
            </w:r>
          </w:p>
        </w:tc>
        <w:tc>
          <w:tcPr>
            <w:tcW w:type="dxa" w:w="2664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{{字段含义、单位、枚举、业务解释}}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data.{{result_field_2}}</w:t>
            </w:r>
          </w:p>
        </w:tc>
        <w:tc>
          <w:tcPr>
            <w:tcW w:type="dxa" w:w="144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string</w:t>
            </w:r>
          </w:p>
        </w:tc>
        <w:tc>
          <w:tcPr>
            <w:tcW w:type="dxa" w:w="1296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否</w:t>
            </w:r>
          </w:p>
        </w:tc>
        <w:tc>
          <w:tcPr>
            <w:tcW w:type="dxa" w:w="1728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{{示例}}</w:t>
            </w:r>
          </w:p>
        </w:tc>
        <w:tc>
          <w:tcPr>
            <w:tcW w:type="dxa" w:w="2664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{{字段含义、为空时含义}}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6.3 空数据返回说明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1E7EF"/>
          <w:left w:val="single" w:sz="4" w:space="0" w:color="E1E7EF"/>
          <w:bottom w:val="single" w:sz="4" w:space="0" w:color="E1E7EF"/>
          <w:right w:val="single" w:sz="4" w:space="0" w:color="E1E7EF"/>
          <w:insideH w:val="single" w:sz="4" w:space="0" w:color="E1E7EF"/>
          <w:insideV w:val="single" w:sz="4" w:space="0" w:color="E1E7EF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Microsoft YaHei"/>
                <w:color w:val="22303C"/>
                <w:sz w:val="18"/>
              </w:rPr>
              <w:t>{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2303C"/>
                <w:sz w:val="18"/>
              </w:rPr>
              <w:t xml:space="preserve">  "code": "{{code}}",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2303C"/>
                <w:sz w:val="18"/>
              </w:rPr>
              <w:t xml:space="preserve">  "message": "{{message}}",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2303C"/>
                <w:sz w:val="18"/>
              </w:rPr>
              <w:t xml:space="preserve">  "data": {{null_or_empty_object_or_empty_array}}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2303C"/>
                <w:sz w:val="18"/>
              </w:rPr>
              <w:t>}</w:t>
            </w:r>
          </w:p>
        </w:tc>
      </w:tr>
    </w:tbl>
    <w:p>
      <w:pPr>
        <w:spacing w:after="20"/>
      </w:pP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3"/>
          <w:sz w:val="21"/>
        </w:rPr>
        <w:t>{{空数据代表什么：例如确实无记录、无权限、条件过窄、数据未同步等}}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3"/>
          <w:sz w:val="21"/>
        </w:rPr>
        <w:t>{{空数据是否表示异常；调用方应如何区分}}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3"/>
          <w:sz w:val="21"/>
        </w:rPr>
        <w:t>{{调用方建议处理方式：提示用户、扩大查询条件、重试或转人工}}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7. 调用示例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7.1 最小调用示例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1E7EF"/>
          <w:left w:val="single" w:sz="4" w:space="0" w:color="E1E7EF"/>
          <w:bottom w:val="single" w:sz="4" w:space="0" w:color="E1E7EF"/>
          <w:right w:val="single" w:sz="4" w:space="0" w:color="E1E7EF"/>
          <w:insideH w:val="single" w:sz="4" w:space="0" w:color="E1E7EF"/>
          <w:insideV w:val="single" w:sz="4" w:space="0" w:color="E1E7EF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Microsoft YaHei"/>
                <w:color w:val="22303C"/>
                <w:sz w:val="18"/>
              </w:rPr>
              <w:t>{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2303C"/>
                <w:sz w:val="18"/>
              </w:rPr>
              <w:t xml:space="preserve">  "{{required_field}}": "{{value}}"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2303C"/>
                <w:sz w:val="18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7.2 典型业务调用示例</w:t>
      </w:r>
    </w:p>
    <w:p>
      <w:r>
        <w:rPr>
          <w:rFonts w:ascii="Microsoft YaHei" w:hAnsi="Microsoft YaHei" w:eastAsia="Microsoft YaHei"/>
          <w:b w:val="0"/>
          <w:i w:val="0"/>
          <w:color w:val="1F2933"/>
        </w:rPr>
        <w:t>业务场景：{{说明该示例对应的真实业务场景。}}</w:t>
      </w:r>
    </w:p>
    <w:p>
      <w:r>
        <w:rPr>
          <w:rFonts w:ascii="Microsoft YaHei" w:hAnsi="Microsoft YaHei" w:eastAsia="Microsoft YaHei"/>
          <w:b/>
          <w:i w:val="0"/>
          <w:color w:val="1F4D78"/>
        </w:rPr>
        <w:t>请求：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1E7EF"/>
          <w:left w:val="single" w:sz="4" w:space="0" w:color="E1E7EF"/>
          <w:bottom w:val="single" w:sz="4" w:space="0" w:color="E1E7EF"/>
          <w:right w:val="single" w:sz="4" w:space="0" w:color="E1E7EF"/>
          <w:insideH w:val="single" w:sz="4" w:space="0" w:color="E1E7EF"/>
          <w:insideV w:val="single" w:sz="4" w:space="0" w:color="E1E7EF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Microsoft YaHei"/>
                <w:color w:val="22303C"/>
                <w:sz w:val="18"/>
              </w:rPr>
              <w:t>{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2303C"/>
                <w:sz w:val="18"/>
              </w:rPr>
              <w:t xml:space="preserve">  "{{field_1}}": "{{value}}",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2303C"/>
                <w:sz w:val="18"/>
              </w:rPr>
              <w:t xml:space="preserve">  "{{field_2}}": "{{value}}"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2303C"/>
                <w:sz w:val="18"/>
              </w:rPr>
              <w:t>}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/>
          <w:i w:val="0"/>
          <w:color w:val="1F4D78"/>
        </w:rPr>
        <w:t>返回：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1E7EF"/>
          <w:left w:val="single" w:sz="4" w:space="0" w:color="E1E7EF"/>
          <w:bottom w:val="single" w:sz="4" w:space="0" w:color="E1E7EF"/>
          <w:right w:val="single" w:sz="4" w:space="0" w:color="E1E7EF"/>
          <w:insideH w:val="single" w:sz="4" w:space="0" w:color="E1E7EF"/>
          <w:insideV w:val="single" w:sz="4" w:space="0" w:color="E1E7EF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Microsoft YaHei"/>
                <w:color w:val="22303C"/>
                <w:sz w:val="18"/>
              </w:rPr>
              <w:t>{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2303C"/>
                <w:sz w:val="18"/>
              </w:rPr>
              <w:t xml:space="preserve">  "code": "200",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2303C"/>
                <w:sz w:val="18"/>
              </w:rPr>
              <w:t xml:space="preserve">  "message": "success",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2303C"/>
                <w:sz w:val="18"/>
              </w:rPr>
              <w:t xml:space="preserve">  "data": {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2303C"/>
                <w:sz w:val="18"/>
              </w:rPr>
              <w:t xml:space="preserve">    "{{result_field}}": "{{value}}"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2303C"/>
                <w:sz w:val="18"/>
              </w:rPr>
              <w:t xml:space="preserve">  }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2303C"/>
                <w:sz w:val="18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7.3 异常调用示例</w:t>
      </w:r>
    </w:p>
    <w:p>
      <w:r>
        <w:rPr>
          <w:rFonts w:ascii="Microsoft YaHei" w:hAnsi="Microsoft YaHei" w:eastAsia="Microsoft YaHei"/>
          <w:b/>
          <w:i w:val="0"/>
          <w:color w:val="1F4D78"/>
        </w:rPr>
        <w:t>错误请求：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1E7EF"/>
          <w:left w:val="single" w:sz="4" w:space="0" w:color="E1E7EF"/>
          <w:bottom w:val="single" w:sz="4" w:space="0" w:color="E1E7EF"/>
          <w:right w:val="single" w:sz="4" w:space="0" w:color="E1E7EF"/>
          <w:insideH w:val="single" w:sz="4" w:space="0" w:color="E1E7EF"/>
          <w:insideV w:val="single" w:sz="4" w:space="0" w:color="E1E7EF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Microsoft YaHei"/>
                <w:color w:val="22303C"/>
                <w:sz w:val="18"/>
              </w:rPr>
              <w:t>{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2303C"/>
                <w:sz w:val="18"/>
              </w:rPr>
              <w:t xml:space="preserve">  "{{field_1}}": ""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2303C"/>
                <w:sz w:val="18"/>
              </w:rPr>
              <w:t>}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/>
          <w:i w:val="0"/>
          <w:color w:val="1F4D78"/>
        </w:rPr>
        <w:t>错误返回：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1E7EF"/>
          <w:left w:val="single" w:sz="4" w:space="0" w:color="E1E7EF"/>
          <w:bottom w:val="single" w:sz="4" w:space="0" w:color="E1E7EF"/>
          <w:right w:val="single" w:sz="4" w:space="0" w:color="E1E7EF"/>
          <w:insideH w:val="single" w:sz="4" w:space="0" w:color="E1E7EF"/>
          <w:insideV w:val="single" w:sz="4" w:space="0" w:color="E1E7EF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Microsoft YaHei"/>
                <w:color w:val="22303C"/>
                <w:sz w:val="18"/>
              </w:rPr>
              <w:t>{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2303C"/>
                <w:sz w:val="18"/>
              </w:rPr>
              <w:t xml:space="preserve">  "code": "{{code}}",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2303C"/>
                <w:sz w:val="18"/>
              </w:rPr>
              <w:t xml:space="preserve">  "message": "{{error_message}}",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2303C"/>
                <w:sz w:val="18"/>
              </w:rPr>
              <w:t xml:space="preserve">  "data": null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2303C"/>
                <w:sz w:val="18"/>
              </w:rPr>
              <w:t>}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 w:val="0"/>
          <w:i w:val="0"/>
          <w:color w:val="1F2933"/>
        </w:rPr>
        <w:t>说明：{{解释为什么报错，以及调用方应该如何修正。}}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8. 典型错误说明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</w:tblPr>
      <w:tblGrid>
        <w:gridCol w:w="1440"/>
        <w:gridCol w:w="2448"/>
        <w:gridCol w:w="2736"/>
        <w:gridCol w:w="2736"/>
      </w:tblGrid>
      <w:tr>
        <w:trPr>
          <w:tblHeader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错误码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错误信息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可能原因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处理建议</w:t>
            </w:r>
          </w:p>
        </w:tc>
      </w:tr>
      <w:tr>
        <w:tc>
          <w:tcPr>
            <w:tcW w:type="dxa" w:w="144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{{code_1}}</w:t>
            </w:r>
          </w:p>
        </w:tc>
        <w:tc>
          <w:tcPr>
            <w:tcW w:type="dxa" w:w="2448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{{error_message}}</w:t>
            </w:r>
          </w:p>
        </w:tc>
        <w:tc>
          <w:tcPr>
            <w:tcW w:type="dxa" w:w="2736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{{原因}}</w:t>
            </w:r>
          </w:p>
        </w:tc>
        <w:tc>
          <w:tcPr>
            <w:tcW w:type="dxa" w:w="2736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{{处理建议}}</w:t>
            </w:r>
          </w:p>
        </w:tc>
      </w:tr>
      <w:tr>
        <w:tc>
          <w:tcPr>
            <w:tcW w:type="dxa" w:w="144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{{code_2}}</w:t>
            </w:r>
          </w:p>
        </w:tc>
        <w:tc>
          <w:tcPr>
            <w:tcW w:type="dxa" w:w="2448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{{error_message}}</w:t>
            </w:r>
          </w:p>
        </w:tc>
        <w:tc>
          <w:tcPr>
            <w:tcW w:type="dxa" w:w="2736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{{原因}}</w:t>
            </w:r>
          </w:p>
        </w:tc>
        <w:tc>
          <w:tcPr>
            <w:tcW w:type="dxa" w:w="2736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{{处理建议}}</w:t>
            </w:r>
          </w:p>
        </w:tc>
      </w:tr>
      <w:tr>
        <w:tc>
          <w:tcPr>
            <w:tcW w:type="dxa" w:w="144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{{code_3}}</w:t>
            </w:r>
          </w:p>
        </w:tc>
        <w:tc>
          <w:tcPr>
            <w:tcW w:type="dxa" w:w="2448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{{error_message}}</w:t>
            </w:r>
          </w:p>
        </w:tc>
        <w:tc>
          <w:tcPr>
            <w:tcW w:type="dxa" w:w="2736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{{原因}}</w:t>
            </w:r>
          </w:p>
        </w:tc>
        <w:tc>
          <w:tcPr>
            <w:tcW w:type="dxa" w:w="2736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{{处理建议}}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9. 常见问题 FAQ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问题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答案</w:t>
            </w:r>
          </w:p>
        </w:tc>
      </w:tr>
      <w:tr>
        <w:tc>
          <w:tcPr>
            <w:tcW w:type="dxa" w:w="324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Q1：{{问题}}</w:t>
            </w:r>
          </w:p>
        </w:tc>
        <w:tc>
          <w:tcPr>
            <w:tcW w:type="dxa" w:w="612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A：{{答案}}</w:t>
            </w:r>
          </w:p>
        </w:tc>
      </w:tr>
      <w:tr>
        <w:tc>
          <w:tcPr>
            <w:tcW w:type="dxa" w:w="324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Q2：{{问题}}</w:t>
            </w:r>
          </w:p>
        </w:tc>
        <w:tc>
          <w:tcPr>
            <w:tcW w:type="dxa" w:w="612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A：{{答案}}</w:t>
            </w:r>
          </w:p>
        </w:tc>
      </w:tr>
      <w:tr>
        <w:tc>
          <w:tcPr>
            <w:tcW w:type="dxa" w:w="324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Q3：{{问题}}</w:t>
            </w:r>
          </w:p>
        </w:tc>
        <w:tc>
          <w:tcPr>
            <w:tcW w:type="dxa" w:w="612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A：{{答案}}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10. 与其他工具的关系</w:t>
      </w:r>
    </w:p>
    <w:tbl>
      <w:tblPr>
        <w:tblW w:type="dxa" w:w="9359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</w:tblPr>
      <w:tblGrid>
        <w:gridCol w:w="1944"/>
        <w:gridCol w:w="1800"/>
        <w:gridCol w:w="3671"/>
        <w:gridCol w:w="1944"/>
      </w:tblGrid>
      <w:tr>
        <w:trPr>
          <w:tblHeader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相关工具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所属系统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关系说明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使用顺序</w:t>
            </w:r>
          </w:p>
        </w:tc>
      </w:tr>
      <w:tr>
        <w:tc>
          <w:tcPr>
            <w:tcW w:type="dxa" w:w="1944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{{工具 A}}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IPM/QPP/ECS/TC</w:t>
            </w:r>
          </w:p>
        </w:tc>
        <w:tc>
          <w:tcPr>
            <w:tcW w:type="dxa" w:w="3671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{{例如：本工具依赖该工具返回的编码}}</w:t>
            </w:r>
          </w:p>
        </w:tc>
        <w:tc>
          <w:tcPr>
            <w:tcW w:type="dxa" w:w="1944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{{先调用 A，再调用本工具}}</w:t>
            </w:r>
          </w:p>
        </w:tc>
      </w:tr>
      <w:tr>
        <w:tc>
          <w:tcPr>
            <w:tcW w:type="dxa" w:w="1944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{{工具 B}}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IPM/QPP/ECS/TC</w:t>
            </w:r>
          </w:p>
        </w:tc>
        <w:tc>
          <w:tcPr>
            <w:tcW w:type="dxa" w:w="3671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{{关系说明}}</w:t>
            </w:r>
          </w:p>
        </w:tc>
        <w:tc>
          <w:tcPr>
            <w:tcW w:type="dxa" w:w="1944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{{使用顺序}}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11. 变更记录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</w:tblPr>
      <w:tblGrid>
        <w:gridCol w:w="1440"/>
        <w:gridCol w:w="1728"/>
        <w:gridCol w:w="4752"/>
        <w:gridCol w:w="1440"/>
      </w:tblGrid>
      <w:tr>
        <w:trPr>
          <w:tblHeader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版本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日期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变更内容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变更人</w:t>
            </w:r>
          </w:p>
        </w:tc>
      </w:tr>
      <w:tr>
        <w:tc>
          <w:tcPr>
            <w:tcW w:type="dxa" w:w="144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{{version}}</w:t>
            </w:r>
          </w:p>
        </w:tc>
        <w:tc>
          <w:tcPr>
            <w:tcW w:type="dxa" w:w="1728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{{date}}</w:t>
            </w:r>
          </w:p>
        </w:tc>
        <w:tc>
          <w:tcPr>
            <w:tcW w:type="dxa" w:w="4752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{{change_summary}}</w:t>
            </w:r>
          </w:p>
        </w:tc>
        <w:tc>
          <w:tcPr>
            <w:tcW w:type="dxa" w:w="144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{{owner}}</w:t>
            </w:r>
          </w:p>
        </w:tc>
      </w:tr>
      <w:tr>
        <w:tc>
          <w:tcPr>
            <w:tcW w:type="dxa" w:w="144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{{version}}</w:t>
            </w:r>
          </w:p>
        </w:tc>
        <w:tc>
          <w:tcPr>
            <w:tcW w:type="dxa" w:w="1728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{{date}}</w:t>
            </w:r>
          </w:p>
        </w:tc>
        <w:tc>
          <w:tcPr>
            <w:tcW w:type="dxa" w:w="4752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{{change_summary}}</w:t>
            </w:r>
          </w:p>
        </w:tc>
        <w:tc>
          <w:tcPr>
            <w:tcW w:type="dxa" w:w="1440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{{owner}}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12. 填写检查清单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color w:val="1F2933"/>
          <w:sz w:val="21"/>
        </w:rPr>
        <w:t>□ 已说明工具在什么场景下使用、发挥什么作用、能解决什么问题。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color w:val="1F2933"/>
          <w:sz w:val="21"/>
        </w:rPr>
        <w:t>□ 已逐项解释所有入参字段，包括类型、必填、默认值、取值范围、示例和校验规则。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color w:val="1F2933"/>
          <w:sz w:val="21"/>
        </w:rPr>
        <w:t>□ 已逐项解释所有出参字段，包括空值、枚举、单位和业务含义。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color w:val="1F2933"/>
          <w:sz w:val="21"/>
        </w:rPr>
        <w:t>□ 已提供最小调用、典型业务调用、异常调用三个示例。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color w:val="1F2933"/>
          <w:sz w:val="21"/>
        </w:rPr>
        <w:t>□ 已列出典型错误码、错误原因和处理建议。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color w:val="1F2933"/>
          <w:sz w:val="21"/>
        </w:rPr>
        <w:t>□ 已明确工具能力边界、数据范围、权限限制和不适用场景。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icrosoft YaHei" w:hAnsi="Microsoft YaHei" w:eastAsia="Microsoft YaHei"/>
        <w:color w:val="5B6673"/>
        <w:sz w:val="17"/>
      </w:rPr>
      <w:t>请按真实系统能力填写；无法确认的信息标注“待确认”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Microsoft YaHei" w:hAnsi="Microsoft YaHei" w:eastAsia="Microsoft YaHei"/>
        <w:color w:val="5B6673"/>
        <w:sz w:val="17"/>
      </w:rPr>
      <w:t>玉柴系统工具说明模板 | IPM / QPP / ECS / TC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contextualSpacing/>
    </w:pPr>
    <w:rPr>
      <w:rFonts w:ascii="Microsoft YaHei" w:hAnsi="Microsoft YaHei" w:eastAsia="Microsoft YaHei"/>
      <w:color w:val="1F29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contextualSpacing/>
    </w:pPr>
    <w:rPr>
      <w:rFonts w:ascii="Microsoft YaHei" w:hAnsi="Microsoft YaHei" w:eastAsia="Microsoft YaHei"/>
      <w:color w:val="1F29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玉柴系统工具说明模板</dc:title>
  <dc:subject>IPM/QPP/ECS/TC 工具说明填报模板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