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零部件设计业务案例资料库索引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同一套资料库支撑 7 类流程、14 份业务案例示例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本资料库是一套可追溯的演示业务资料，用于训练业务人员按统一模板编写工作案例。资料库中的任务、参数、计算、回读、图纸、风险和报告记录均落到本目录文件；正式项目使用时应替换为真实任务和受控资料。</w:t>
      </w:r>
    </w:p>
    <w:p>
      <w:pPr>
        <w:pStyle w:val="Heading1"/>
      </w:pPr>
      <w:r>
        <w:t>资料库范围</w:t>
      </w:r>
    </w:p>
    <w:tbl>
      <w:tblGrid>
        <w:gridCol w:w="1800"/>
        <w:gridCol w:w="2951"/>
        <w:gridCol w:w="3311"/>
        <w:gridCol w:w="1296"/>
      </w:tblGrid>
      <w:tblPr>
        <w:tblStyle w:val="TableGrid"/>
        <w:tblW w:type="dxa" w:w="9358"/>
        <w:jc w:val="center"/>
        <w:tblLook w:firstColumn="1" w:firstRow="1" w:lastColumn="0" w:lastRow="0" w:noHBand="0" w:noVBand="1" w:val="04A0"/>
      </w:tblP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资料类别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文件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用途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示例数量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任务来源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任务单_两项.docx、任务来源台账.xlsx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支撑任务识别、候选展示和任务选择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 项任务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模板与对象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TC模板与图纸候选清单.xlsx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支撑模板选择、WorkPart 和图纸数据集确认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 套对象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参数资料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参数词典摘录.xlsx、边界参数与计算记录.xlsx、NX驱动参数导出.xlsx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支撑参数分类、计算、映射和写入前计划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 套参数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建模回读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建模计划与回读记录.xlsx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支撑模型参数写入、回读和保存状态判断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 套记录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图纸资料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二维图纸更新记录.xlsx、截图 PNG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支撑图纸一致性检查和报告图片证据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 套记录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风险与报告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DFMEA风险资料.xlsx、DFMEA评分准则.docx、设计说明书资料包.docx、设计说明书证据清单.xlsx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支撑风险复核和说明书编写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 套记录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归档资料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TC归档清单.xlsx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支撑上传前清单和缺口判断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 套清单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业务案例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每类流程 1 个 DOCX，另有 14 份合集 DOCX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供业务人员参考填写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7 类，每类 2 份</w:t>
            </w:r>
          </w:p>
        </w:tc>
      </w:tr>
    </w:tbl>
    <w:p>
      <w:pPr>
        <w:spacing w:after="80"/>
      </w:pPr>
    </w:p>
    <w:p>
      <w:pPr>
        <w:pStyle w:val="Heading1"/>
      </w:pPr>
      <w:r>
        <w:t>贯穿样例任务</w:t>
      </w:r>
    </w:p>
    <w:tbl>
      <w:tblGrid>
        <w:gridCol w:w="1944"/>
        <w:gridCol w:w="1224"/>
        <w:gridCol w:w="1152"/>
        <w:gridCol w:w="1944"/>
        <w:gridCol w:w="3096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任务编号</w:t>
            </w:r>
          </w:p>
        </w:tc>
        <w:tc>
          <w:tcPr>
            <w:tcW w:type="dxa" w:w="122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零部件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图号/对象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任务摘要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TSK-630-HPX-001</w:t>
            </w:r>
          </w:p>
        </w:tc>
        <w:tc>
          <w:tcPr>
            <w:tcW w:type="dxa" w:w="122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K08-630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K08-1004061/A0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TSK-630-ZTP-002</w:t>
            </w:r>
          </w:p>
        </w:tc>
        <w:tc>
          <w:tcPr>
            <w:tcW w:type="dxa" w:w="122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K08-630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K08-1005180/A0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</w:tbl>
    <w:p>
      <w:pPr>
        <w:spacing w:after="80"/>
      </w:pPr>
    </w:p>
    <w:p>
      <w:pPr>
        <w:pStyle w:val="Heading1"/>
      </w:pPr>
      <w:r>
        <w:t>使用规则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同类资料必须沿用同一格式，不为不同案例临时换表头或换字段。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案例正文只写业务工程师的工作输入、判断、处理和交付，不写系统实现过程。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涉及参数和结论时必须引用资料库文件中的具体记录；没有记录时写成待确认，不写完成态。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正式项目落地时，必须把本资料库演示数据替换为受控任务、模型、图纸、试验、仿真、数据库或流程文件。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