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零部件设计业务流程与证据规范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由当前运行链路文件抽取的业务可见规范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本规范用于约束案例编写：每个业务动作必须有资料来源、判断依据、交付物和验收证据。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各依据文件的仓库相对路径和 sha256 见同目录《运行依据文件清单.xlsx》。</w:t>
      </w:r>
    </w:p>
    <w:p>
      <w:pPr>
        <w:pStyle w:val="Heading1"/>
      </w:pPr>
      <w:r>
        <w:t>运行依据文件</w:t>
      </w:r>
    </w:p>
    <w:tbl>
      <w:tblGrid>
        <w:gridCol w:w="1080"/>
        <w:gridCol w:w="3168"/>
        <w:gridCol w:w="5112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依据编号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依据文件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抽取规则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R1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part-design/SKILL.md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任务候选、模板来源三选、参数分类、建模确认、交付闭环。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R2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logic-expression-design/SKILL.md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边界参数、经验参数、设计参数计算和缺参处理。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R3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parameter-mapping/SKILL.md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标准参数身份、NX 表达式映射、写入前证据。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R4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tool.design_flow/TOOL.md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任务归一、任务选择、参数分类、参数分支和建模计划。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R5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nx-operation/nx-parameter/nx-visual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WorkPart、驱动参数、写入、回读、视图和截图证据。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R6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dfmea-risk-review 与 tool.dfmea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 模板检查、风险草案、S/O/D、AP/RPN 和工作簿校验。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R7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design-report 与 tool.design_report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说明书模板槽位、证据收集、正式 DOCX、版本和哈希。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R8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teamcenter-flow 与 handoff-artifacts.md</w:t>
            </w:r>
          </w:p>
        </w:tc>
        <w:tc>
          <w:tcPr>
            <w:tcW w:type="dxa" w:w="51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 模板、图纸数据集、上传清单和 artifact 字段。</w:t>
            </w:r>
          </w:p>
        </w:tc>
      </w:tr>
    </w:tbl>
    <w:p>
      <w:pPr>
        <w:spacing w:after="80"/>
      </w:pPr>
    </w:p>
    <w:p>
      <w:pPr>
        <w:pStyle w:val="Heading1"/>
      </w:pPr>
      <w:r>
        <w:t>7 类流程证据要求</w:t>
      </w:r>
    </w:p>
    <w:tbl>
      <w:tblGrid>
        <w:gridCol w:w="1655"/>
        <w:gridCol w:w="2376"/>
        <w:gridCol w:w="2808"/>
        <w:gridCol w:w="2520"/>
      </w:tblGrid>
      <w:tblPr>
        <w:tblStyle w:val="TableGrid"/>
        <w:tblW w:type="dxa" w:w="9359"/>
        <w:jc w:val="center"/>
        <w:tblLook w:firstColumn="1" w:firstRow="1" w:lastColumn="0" w:lastRow="0" w:noHBand="0" w:noVBand="1" w:val="04A0"/>
      </w:tblP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业务动作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必须有的资料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完成判定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整理任务候选并选择当前任务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任务来源台账、任务单、原始任务文本、负责人和日期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任务编号唯一，任务内容保留原文，已形成当前任务记录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确认模板来源并打开/确认主模型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 模板候选、用户选择记录、WorkPart 信息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 item/version 明确，当前 WorkPart 与任务对象一致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分类参数、补齐边界、计算设计参数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边界参数表、经验值确认、公式来源、参数词典摘录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设计参数值、单位、公式、缺口和确认状态完整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形成写入计划、更新参数、回读并保存/归档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驱动参数导出、建模计划、写入结果、回读记录、TC 清单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目标值与回读值一致，保存/更新状态明确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打开已绑定图纸并检查关键尺寸一致性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图纸数据集候选、图纸更新记录、截图和尺寸检查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图纸数据集来源明确，关键尺寸与模型一致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基于变更点补充风险行并校验工作簿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 准则、风险草案、评分、工作簿校验摘要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风险行完整，S/O/D、RPN、AP 和人工复核状态明确</w:t>
            </w:r>
          </w:p>
        </w:tc>
      </w:tr>
      <w:tr>
        <w:tc>
          <w:tcPr>
            <w:tcW w:type="dxa" w:w="1655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收集证据并形成说明书内容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旧说明书摘录、槽位证据、截图、报告输出记录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说明书字段完整，文件路径、版本和摘要明确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