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11827"/>
          <w:sz w:val="44"/>
        </w:rPr>
        <w:t>DFMEA评分准则</w:t>
      </w:r>
    </w:p>
    <w:p>
      <w:pPr>
        <w:spacing w:after="240"/>
      </w:pPr>
      <w:r>
        <w:rPr>
          <w:rFonts w:ascii="Calibri" w:hAnsi="Calibri" w:eastAsia="Microsoft YaHei"/>
          <w:color w:val="4B5563"/>
          <w:sz w:val="22"/>
        </w:rPr>
        <w:t>统一风险评分口径</w:t>
      </w: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本准则用于演示案例中的风险评分。正式项目应替换为企业受控 DFMEA/FMEA 手册或项目指定评分标准。</w:t>
      </w:r>
    </w:p>
    <w:tbl>
      <w:tblGrid>
        <w:gridCol w:w="1440"/>
        <w:gridCol w:w="1944"/>
        <w:gridCol w:w="1944"/>
        <w:gridCol w:w="1944"/>
        <w:gridCol w:w="208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14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评分项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1-3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4-6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7-8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9-10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严重度 S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轻微影响，设计余量充足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功能受影响但可发现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主要功能受影响或返工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安全、法规或重大可靠性影响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频度 O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历史少见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偶发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类似问题有记录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高频或无控制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探测度 D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设计阶段可稳定发现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常规检查可发现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依赖专项检查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难以发现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RPN = S x O x D。AP 在本资料库中按高/中/低标注；S&gt;=9 或 AP=H 的风险必须人工复核。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6"/>
      </w:rPr>
      <w:t>演示业务资料库：用于业务案例编写训练，不代替正式项目数据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7"/>
      </w:rPr>
      <w:t>零部件设计业务案例资料库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