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F3 参数智能化处理业务案例示例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每类 2 份，全部引用同一套资料库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以下案例按业务工作过程填写，案例内容只引用本资料库已生成文件。</w:t>
      </w:r>
    </w:p>
    <w:p>
      <w:pPr>
        <w:pStyle w:val="Heading1"/>
      </w:pPr>
      <w:r>
        <w:t>F3-01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F3-01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F3 参数智能化处理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边界参数与计算记录.xlsx；参数词典摘录.xlsx；任务单_两项.docx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先把任务单中的边界参数录入边界参数表，再核对经验参数确认状态；随后按计算记录中的公式得到设计参数：活塞销长度=90.0mm; 活塞销外径=46.0mm; 活塞销内径=21.0mm。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边界参数缺失时先补齐；经验参数未确认时不得进入建模计划；设计参数必须有单位、公式和状态。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参数计算结果：活塞销长度=90.0mm; 活塞销外径=46.0mm; 活塞销内径=21.0mm。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计算记录中每个设计参数均有参数ID、计算值、单位、计算式和确认状态。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F3-02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F3-02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F3 参数智能化处理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边界参数与计算记录.xlsx；参数词典摘录.xlsx；任务单_两项.docx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先把任务单中的边界参数录入边界参数表，再核对经验参数确认状态；随后按计算记录中的公式得到设计参数：止推片外径=123.0mm; 止推片内径=98.0mm; 止推片厚度=3.1mm; 止推片卡扣边距=70.0mm; 止推片卡扣宽度=10.0mm; 止推片斜接口水平交点边距=56.5mm; 止推片斜接口斜度=30.0deg。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边界参数缺失时先补齐；经验参数未确认时不得进入建模计划；设计参数必须有单位、公式和状态。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参数计算结果：止推片外径=123.0mm; 止推片内径=98.0mm; 止推片厚度=3.1mm; 止推片卡扣边距=70.0mm; 止推片卡扣宽度=10.0mm; 止推片斜接口水平交点边距=56.5mm; 止推片斜接口斜度=30.0deg。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计算记录中每个设计参数均有参数ID、计算值、单位、计算式和确认状态。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