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11827"/>
          <w:sz w:val="44"/>
        </w:rPr>
        <w:t>F4 自动化参数化建模及 TC 回传业务案例示例</w:t>
      </w:r>
    </w:p>
    <w:p>
      <w:pPr>
        <w:spacing w:after="240"/>
      </w:pPr>
      <w:r>
        <w:rPr>
          <w:rFonts w:ascii="Calibri" w:hAnsi="Calibri" w:eastAsia="Microsoft YaHei"/>
          <w:color w:val="4B5563"/>
          <w:sz w:val="22"/>
        </w:rPr>
        <w:t>每类 2 份，全部引用同一套资料库</w:t>
      </w:r>
    </w:p>
    <w:p>
      <w:pPr>
        <w:spacing w:after="100"/>
      </w:pPr>
      <w:r>
        <w:rPr>
          <w:rFonts w:ascii="Calibri" w:hAnsi="Calibri" w:eastAsia="Microsoft YaHei"/>
          <w:b w:val="0"/>
          <w:color w:val="111827"/>
          <w:sz w:val="21"/>
        </w:rPr>
        <w:t>以下案例按业务工作过程填写，案例内容只引用本资料库已生成文件。</w:t>
      </w:r>
    </w:p>
    <w:p>
      <w:pPr>
        <w:pStyle w:val="Heading1"/>
      </w:pPr>
      <w:r>
        <w:t>F4-01 活塞销案例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F4-01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F4 自动化参数化建模及 TC 回传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活塞销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K08机型活塞销参数化设计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NX驱动参数导出.xlsx；建模计划与回读记录.xlsx；TC归档清单.xlsx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读取驱动参数导出表，逐项把设计参数映射到真实表达式；形成写入计划后执行参数更新，并用回读记录核对目标值。关键项：PIN_LEN:89.6-&gt;90.0mm，回读90.0mm; PIN_OD:45.8-&gt;46.0mm，回读46.0mm; PIN_ID:20.8-&gt;21.0mm，回读21.0mm。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只有真实表达式、目标值、写入计划和回读值齐备时，模型参数修改才算完成；缺回读或保存状态时不得进入归档完成态。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模型产物：K08-1004061_A0_HP_PIN.prt；回读状态：主要参数通过；归档清单包含模型、图纸、说明书、参数台账和 DFMEA。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建模计划与回读记录中目标值等于回读值，模型状态表为已保存更新。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TSK-630-HPX-001；图号/版本 K08-1004061/A0；资料目录 零部件设计业务案例资料库_v2。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F4-02 止推片案例</w:t>
      </w:r>
    </w:p>
    <w:tbl>
      <w:tblGrid>
        <w:gridCol w:w="2232"/>
        <w:gridCol w:w="7128"/>
      </w:tblGrid>
      <w:tblPr>
        <w:tblStyle w:val="TableGrid"/>
        <w:tblW w:type="dxa" w:w="9360"/>
        <w:jc w:val="center"/>
        <w:tblLook w:firstColumn="1" w:firstRow="1" w:lastColumn="0" w:lastRow="0" w:noHBand="0" w:noVBand="1" w:val="04A0"/>
      </w:tblP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案例编号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F4-02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流程类别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F4 自动化参数化建模及 TC 回传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适用零部件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止推片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业务场景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K08机型止推片参数化设计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输入资料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NX驱动参数导出.xlsx；建模计划与回读记录.xlsx；TC归档清单.xlsx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业务工程师工作过程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读取驱动参数导出表，逐项把设计参数映射到真实表达式；形成写入计划后执行参数更新，并用回读记录核对目标值。关键项：THRUST_OD:122.5-&gt;123.0mm，回读123.0mm; THRUST_ID:97.6-&gt;98.0mm，回读98.0mm; THRUST_THK:3.0-&gt;3.1mm，回读3.1mm; LUG_W:9.8-&gt;10.0mm，回读10.0mm。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关键判断逻辑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只有真实表达式、目标值、写入计划和回读值齐备时，模型参数修改才算完成；缺回读或保存状态时不得进入归档完成态。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输出交付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模型产物：K08-1005180_A0_THRUST_WASHER.prt；回读状态：主要参数通过；归档清单包含模型、图纸、说明书、参数台账和 DFMEA。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验收标准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建模计划与回读记录中目标值等于回读值，模型状态表为已保存更新。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  <w:shd w:fill="F5F7FA"/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9"/>
              </w:rPr>
              <w:t>资料库定位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/>
            </w:pPr>
            <w:r/>
            <w:r>
              <w:rPr>
                <w:rFonts w:ascii="Calibri" w:hAnsi="Calibri" w:eastAsia="Microsoft YaHei"/>
                <w:b w:val="0"/>
                <w:color w:val="111827"/>
                <w:sz w:val="19"/>
              </w:rPr>
              <w:t>任务编号 TSK-630-ZTP-002；图号/版本 K08-1005180/A0；资料目录 零部件设计业务案例资料库_v2。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B7280"/>
        <w:sz w:val="16"/>
      </w:rPr>
      <w:t>演示业务资料库：用于业务案例编写训练，不代替正式项目数据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B7280"/>
        <w:sz w:val="17"/>
      </w:rPr>
      <w:t>零部件设计业务案例资料库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