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F5 二维图纸自动绘制更新业务案例示例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F5-01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 二维图纸自动绘制更新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TC模板与图纸候选清单.xlsx；二维图纸更新记录.xlsx；截图证据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在模型保存更新后，按图纸候选表选择 K08-1004061_A0_DWG，打开已绑定图纸并核对二维图纸更新记录中的关键尺寸；截图文件用于保留视图证据。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没有三维模型回读和保存状态时，不处理图纸；图纸数据集必须来自候选清单，不能凭图号拼路径。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图纸数据集：K08-1004061_A0_DWG；关键尺寸检查结果：通过；截图：HPX_model_front.png。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图纸检查记录中关键尺寸与模型回读一致，截图文件存在且与任务对象一致。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F5-02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 二维图纸自动绘制更新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TC模板与图纸候选清单.xlsx；二维图纸更新记录.xlsx；截图证据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在模型保存更新后，按图纸候选表选择 K08-1005180_A0_DWG，打开已绑定图纸并核对二维图纸更新记录中的关键尺寸；截图文件用于保留视图证据。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没有三维模型回读和保存状态时，不处理图纸；图纸数据集必须来自候选清单，不能凭图号拼路径。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图纸数据集：K08-1005180_A0_DWG；关键尺寸检查结果：通过；截图：ZTP_model_front.png。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图纸检查记录中关键尺寸与模型回读一致，截图文件存在且与任务对象一致。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