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F6 DFMEA 表自动编写业务案例示例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每类 2 份，全部引用同一套资料库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以下案例按业务工作过程填写，案例内容只引用本资料库已生成文件。</w:t>
      </w:r>
    </w:p>
    <w:p>
      <w:pPr>
        <w:pStyle w:val="Heading1"/>
      </w:pPr>
      <w:r>
        <w:t>F6-01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F6-01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F6 DFMEA 表自动编写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DFMEA评分准则.docx；DFMEA风险资料.xlsx；建模计划与回读记录.xlsx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根据参数变更和图纸检查结果整理风险草案，按评分准则填写 S/O/D 并计算 RPN/AP；本例风险：活塞销内孔:内径偏大导致壁厚不足，RPN=96，AP=M; 活塞销长度:长度过长干涉挡圈，RPN=84，AP=M。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每条风险必须有对象、功能、失效模式、后果、原因、预防控制、探测控制、S/O/D、RPN、AP 和复核状态。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DFMEA记录：DFMEA-K08-HPX-001；风险行数：2；工作簿校验摘要：通过。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风险资料表缺失字段为无，复核状态明确；AP 中高风险进入人工复核。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F6-02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F6-02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F6 DFMEA 表自动编写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DFMEA评分准则.docx；DFMEA风险资料.xlsx；建模计划与回读记录.xlsx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根据参数变更和图纸检查结果整理风险草案，按评分准则填写 S/O/D 并计算 RPN/AP；本例风险：止推片厚度:厚度偏大导致轴向间隙不足，RPN=120，AP=M; 止推片卡扣:卡扣宽度与机体槽宽不一致，RPN=112，AP=M。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每条风险必须有对象、功能、失效模式、后果、原因、预防控制、探测控制、S/O/D、RPN、AP 和复核状态。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DFMEA记录：DFMEA-K08-ZTP-002；风险行数：2；工作簿校验摘要：通过。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风险资料表缺失字段为无，复核状态明确；AP 中高风险进入人工复核。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