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F7 设计说明书自动编写业务案例示例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每类 2 份，全部引用同一套资料库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以下案例按业务工作过程填写，案例内容只引用本资料库已生成文件。</w:t>
      </w:r>
    </w:p>
    <w:p>
      <w:pPr>
        <w:pStyle w:val="Heading1"/>
      </w:pPr>
      <w:r>
        <w:t>F7-01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F7-01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F7 设计说明书自动编写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设计说明书资料包.docx；设计说明书证据清单.xlsx；截图证据 PNG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按说明书资料包收集旧说明书摘录、本次参数变化、图纸检查、风险复核和截图证据；依据证据清单组织说明书槽位内容。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说明书内容只引用已存在资料；缺截图、缺旧说明书或缺参数回读时必须标记暂缺，不写正式完成。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报告编号：DR-K08-HPX-001；说明书要点：设计目的：按K08边界条件更新活塞销长度、外径和内径。；结构变化：长度由89.6mm更新为90.0mm，外径由45.8mm更新为46.0mm，内径由20.8mm更新为21.0mm。；验证结论：资料库回读记录显示目标值与回读值一致；图纸检查记录未发现关键尺寸不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证据清单覆盖任务信息、参数变更、图纸检查、风险复核和截图五类资料。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F7-02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F7-02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F7 设计说明书自动编写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设计说明书资料包.docx；设计说明书证据清单.xlsx；截图证据 PNG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按说明书资料包收集旧说明书摘录、本次参数变化、图纸检查、风险复核和截图证据；依据证据清单组织说明书槽位内容。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说明书内容只引用已存在资料；缺截图、缺旧说明书或缺参数回读时必须标记暂缺，不写正式完成。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报告编号：DR-K08-ZTP-002；说明书要点：设计目的：按K08止推档和曲轴边界更新止推片外径、内径、厚度及卡扣特征。；结构变化：外径更新为123.0mm，内径更新为98.0mm，厚度更新为3.1mm，卡扣宽度更新为10.0mm。；验证结论：资料库回读记录显示目标值与回读值一致；图纸检查记录中厚度和卡扣宽度均通过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证据清单覆盖任务信息、参数变更、图纸检查、风险复核和截图五类资料。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