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0" w:lineRule="auto"/>
      </w:pPr>
      <w:r>
        <w:rPr>
          <w:rFonts w:ascii="Microsoft YaHei" w:hAnsi="Microsoft YaHei" w:eastAsia="Microsoft YaHei"/>
          <w:b/>
          <w:i w:val="0"/>
          <w:color w:val="4B5563"/>
          <w:sz w:val="22"/>
        </w:rPr>
        <w:t>零部件设计业务案例模板</w:t>
      </w:r>
    </w:p>
    <w:p>
      <w:pPr>
        <w:spacing w:before="0" w:after="80" w:line="300" w:lineRule="auto"/>
      </w:pPr>
      <w:r>
        <w:rPr>
          <w:rFonts w:ascii="Microsoft YaHei" w:hAnsi="Microsoft YaHei" w:eastAsia="Microsoft YaHei"/>
          <w:b/>
          <w:i w:val="0"/>
          <w:color w:val="111827"/>
          <w:sz w:val="44"/>
        </w:rPr>
        <w:t>F4 自动化参数化建模及TC回传</w:t>
      </w:r>
    </w:p>
    <w:p>
      <w:pPr>
        <w:spacing w:before="0" w:after="240" w:line="300" w:lineRule="auto"/>
      </w:pPr>
      <w:r>
        <w:rPr>
          <w:rFonts w:ascii="Microsoft YaHei" w:hAnsi="Microsoft YaHei" w:eastAsia="Microsoft YaHei"/>
          <w:b w:val="0"/>
          <w:i w:val="0"/>
          <w:color w:val="4B5563"/>
          <w:sz w:val="25"/>
        </w:rPr>
        <w:t>日常业务工作案例采集表</w:t>
      </w:r>
    </w:p>
    <w:tbl>
      <w:tblPr>
        <w:tblW w:type="dxa" w:w="9360"/>
        <w:jc w:val="center"/>
        <w:tblLayout w:type="fixed"/>
        <w:tblLook w:firstColumn="1" w:firstRow="1" w:lastColumn="0" w:lastRow="0" w:noHBand="0" w:noVBand="1" w:val="04A0"/>
      </w:tblPr>
      <w:tblGrid>
        <w:gridCol w:w="1944"/>
        <w:gridCol w:w="7416"/>
      </w:tblGrid>
      <w:tr>
        <w:tc>
          <w:tcPr>
            <w:tcW w:type="dxa" w:w="1944"/>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项目</w:t>
            </w:r>
          </w:p>
        </w:tc>
        <w:tc>
          <w:tcPr>
            <w:tcW w:type="dxa" w:w="741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填写说明</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模板用途</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采集专家如何用确认参数驱动 NX 参数化建模、校核模型质量，并完成文件封装和 TC 回传。</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适用零部件</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连杆 / 气门杆 / 活塞销 / 止推瓦</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建议案例数</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建议采集 18 份</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典型场景</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参数化建模执行；模型重建报错处理；模型质量检查；TC属性和版本回传失败处理</w:t>
            </w:r>
          </w:p>
        </w:tc>
      </w:tr>
    </w:tbl>
    <w:p>
      <w:pPr>
        <w:spacing w:before="0" w:after="40" w:line="300" w:lineRule="auto"/>
      </w:pPr>
    </w:p>
    <w:tbl>
      <w:tblPr>
        <w:tblW w:type="dxa" w:w="9360"/>
        <w:jc w:val="center"/>
        <w:tblLayout w:type="fixed"/>
        <w:tblLook w:firstColumn="1" w:firstRow="1" w:lastColumn="0" w:lastRow="0" w:noHBand="0" w:noVBand="1" w:val="04A0"/>
      </w:tblPr>
      <w:tblGrid>
        <w:gridCol w:w="9360"/>
      </w:tblGrid>
      <w:tr>
        <w:tc>
          <w:tcPr>
            <w:tcW w:type="dxa" w:w="9360"/>
            <w:shd w:fill="EAF7E7"/>
            <w:tcBorders>
              <w:top w:val="single" w:sz="4" w:space="0" w:color="D9E2EF"/>
              <w:left w:val="single" w:sz="4" w:space="0" w:color="D9E2EF"/>
              <w:bottom w:val="single" w:sz="4" w:space="0" w:color="D9E2EF"/>
              <w:right w:val="single" w:sz="4" w:space="0" w:color="D9E2EF"/>
            </w:tcBorders>
            <w:tcMar>
              <w:top w:w="120" w:type="dxa"/>
              <w:start w:w="160" w:type="dxa"/>
              <w:bottom w:w="120" w:type="dxa"/>
              <w:end w:w="160" w:type="dxa"/>
            </w:tcMar>
          </w:tcPr>
          <w:p>
            <w:r/>
            <w:r>
              <w:rPr>
                <w:rFonts w:ascii="Microsoft YaHei" w:hAnsi="Microsoft YaHei" w:eastAsia="Microsoft YaHei"/>
                <w:b/>
                <w:i w:val="0"/>
                <w:color w:val="111827"/>
                <w:sz w:val="20"/>
              </w:rPr>
              <w:t>填写口径</w:t>
            </w:r>
          </w:p>
          <w:p>
            <w:pPr>
              <w:spacing w:after="40" w:line="283" w:lineRule="auto"/>
            </w:pPr>
            <w:r>
              <w:rPr>
                <w:rFonts w:ascii="Microsoft YaHei" w:hAnsi="Microsoft YaHei" w:eastAsia="Microsoft YaHei"/>
                <w:b w:val="0"/>
                <w:i w:val="0"/>
                <w:color w:val="111827"/>
                <w:sz w:val="19"/>
              </w:rPr>
              <w:t>本模板用于采集业务人员在日常零部件设计工作中产生的真实业务案例。</w:t>
            </w:r>
          </w:p>
          <w:p>
            <w:pPr>
              <w:spacing w:after="40" w:line="283" w:lineRule="auto"/>
            </w:pPr>
            <w:r>
              <w:rPr>
                <w:rFonts w:ascii="Microsoft YaHei" w:hAnsi="Microsoft YaHei" w:eastAsia="Microsoft YaHei"/>
                <w:b w:val="0"/>
                <w:i w:val="0"/>
                <w:color w:val="111827"/>
                <w:sz w:val="19"/>
              </w:rPr>
              <w:t>请写“专家拿到业务任务后如何分析、判断、设计、校核、交付”，不要写成软件操作记录或简单结果汇报。</w:t>
            </w:r>
          </w:p>
          <w:p>
            <w:pPr>
              <w:spacing w:after="40" w:line="283" w:lineRule="auto"/>
            </w:pPr>
            <w:r>
              <w:rPr>
                <w:rFonts w:ascii="Microsoft YaHei" w:hAnsi="Microsoft YaHei" w:eastAsia="Microsoft YaHei"/>
                <w:b w:val="0"/>
                <w:i w:val="0"/>
                <w:color w:val="111827"/>
                <w:sz w:val="19"/>
              </w:rPr>
              <w:t>每个案例必须能让后来的人看懂：输入是什么、判断依据是什么、过程怎么做、输出什么、怎样算合格。</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1 案例基本信息</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案例编号</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建议格式：F4-零件类型-任务类型-序号，例如 F4-活塞销-001。</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案例名称</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用业务任务命名，例如“某型号活塞销边界参数换算与建模参数确认”，不要写成软件操作或会议记录标题。</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适用零部件</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连杆 / 气门杆 / 活塞销 / 止推瓦；如有零件号、项目号、平台号，请写明。</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业务角色</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填写真实处理该任务的人：结构设计、工艺、仿真、质量、项目管理等。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任务背景</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为什么发生该业务任务：新开发、改型、试验整改、装配问题、图纸发布、DFMEA更新等。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案例来源</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任务单、变更单、项目评审、历史问题、试验报告、生产/装配反馈等。</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2 本类案例必须写清楚的输入</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建模输入</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任务编号、模板编号、最终参数表、材料、基准、接口、命名规则。</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NX模板信息</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模板版本、特征树、表达式参数、引用关系、工程图关联。</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质量要求</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关键尺寸、质量属性、干涉要求、特征稳定性、可重建性。</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TC归档要求</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零件号、版本、文件命名、属性字段、上传路径、关联任务/变更单。</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异常现象</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特征失败、几何破面、尺寸未驱动、属性缺失、上传失败、版本冲突。</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3 专家业务工作过程</w:t>
      </w:r>
    </w:p>
    <w:tbl>
      <w:tblPr>
        <w:tblW w:type="dxa" w:w="9360"/>
        <w:jc w:val="center"/>
        <w:tblLayout w:type="fixed"/>
        <w:tblLook w:firstColumn="1" w:firstRow="1" w:lastColumn="0" w:lastRow="0" w:noHBand="0" w:noVBand="1" w:val="04A0"/>
      </w:tblPr>
      <w:tblGrid>
        <w:gridCol w:w="792"/>
        <w:gridCol w:w="2880"/>
        <w:gridCol w:w="3096"/>
        <w:gridCol w:w="2592"/>
      </w:tblGrid>
      <w:tr>
        <w:tc>
          <w:tcPr>
            <w:tcW w:type="dxa" w:w="792"/>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步骤</w:t>
            </w:r>
          </w:p>
        </w:tc>
        <w:tc>
          <w:tcPr>
            <w:tcW w:type="dxa" w:w="2880"/>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专家实际动作</w:t>
            </w:r>
          </w:p>
        </w:tc>
        <w:tc>
          <w:tcPr>
            <w:tcW w:type="dxa" w:w="309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判断依据/证据</w:t>
            </w:r>
          </w:p>
        </w:tc>
        <w:tc>
          <w:tcPr>
            <w:tcW w:type="dxa" w:w="2592"/>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输出记录</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1</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确认建模参数冻结并导入 NX 模板。</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最终参数表、模板版本、单位和表达式映射。</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建模输入确认。</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2</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按特征顺序驱动模型生成。</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基准、主体、孔槽、倒角圆角、减重/加强特征。</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初版模型。</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3</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检查模型重建和关键尺寸。</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特征树无报错、关键尺寸正确、质量属性合理。</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模型检查记录。</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4</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处理建模异常并记录原因。</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参数越界、模板特征限制、几何冲突、表达式错误。</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异常处理记录。</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5</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封装文件并回传 TC。</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命名、版本、属性、关联任务、上传路径。</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TC归档记录。</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4 关键判断逻辑</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模型正确性</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专家如何判断模型关键尺寸、结构特征、接口和质量属性满足设计任务。</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模型稳定性</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如何检查模型可重建、特征树稳定、参数修改后不会失效。</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异常定位</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建模失败时如何区分参数问题、模板问题、NX环境问题或业务边界问题。</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TC闭环</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模型上传后如何确认版本、属性、预览、关联任务和状态更新正确。</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5 输出交付与验收标准</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输出交付</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NX模型、参数版本、模型检查记录、封装文件、TC上传记录、异常处理说明。</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验收标准</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模型可打开、可重建、无关键特征报错、关键尺寸正确、TC版本和属性完整。</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沉淀经验</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建模失败原因、参数边界、模板缺陷、TC属性映射规则。</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6 不要这样写 / 应该这样写</w:t>
      </w:r>
    </w:p>
    <w:tbl>
      <w:tblPr>
        <w:tblW w:type="dxa" w:w="9360"/>
        <w:jc w:val="center"/>
        <w:tblLayout w:type="fixed"/>
        <w:tblLook w:firstColumn="1" w:firstRow="1" w:lastColumn="0" w:lastRow="0" w:noHBand="0" w:noVBand="1" w:val="04A0"/>
      </w:tblPr>
      <w:tblGrid>
        <w:gridCol w:w="3456"/>
        <w:gridCol w:w="5903"/>
      </w:tblGrid>
      <w:tr>
        <w:tc>
          <w:tcPr>
            <w:tcW w:type="dxa" w:w="345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不要写成</w:t>
            </w:r>
          </w:p>
        </w:tc>
        <w:tc>
          <w:tcPr>
            <w:tcW w:type="dxa" w:w="5903"/>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应该写成业务工作案例</w:t>
            </w:r>
          </w:p>
        </w:tc>
      </w:tr>
      <w:tr>
        <w:tc>
          <w:tcPr>
            <w:tcW w:type="dxa" w:w="345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模型完成后上传 TC。</w:t>
            </w:r>
          </w:p>
        </w:tc>
        <w:tc>
          <w:tcPr>
            <w:tcW w:type="dxa" w:w="590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专家检查模型重建无报错，活塞销外径、内径、长度与冻结参数一致，质量属性在预期范围内，再按零件号和版本规则封装上传 TC。</w:t>
            </w:r>
          </w:p>
        </w:tc>
      </w:tr>
      <w:tr>
        <w:tc>
          <w:tcPr>
            <w:tcW w:type="dxa" w:w="345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建模过程中出现失败。</w:t>
            </w:r>
          </w:p>
        </w:tc>
        <w:tc>
          <w:tcPr>
            <w:tcW w:type="dxa" w:w="590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专家定位失败原因为倒角参数超过壁厚允许范围，调整倒角默认规则后模型可重建，并记录该模板参数边界。</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7 案例质量检查表</w:t>
      </w:r>
    </w:p>
    <w:tbl>
      <w:tblPr>
        <w:tblW w:type="dxa" w:w="9360"/>
        <w:jc w:val="center"/>
        <w:tblLayout w:type="fixed"/>
        <w:tblLook w:firstColumn="1" w:firstRow="1" w:lastColumn="0" w:lastRow="0" w:noHBand="0" w:noVBand="1" w:val="04A0"/>
      </w:tblPr>
      <w:tblGrid>
        <w:gridCol w:w="2088"/>
        <w:gridCol w:w="6263"/>
        <w:gridCol w:w="1007"/>
      </w:tblGrid>
      <w:tr>
        <w:tc>
          <w:tcPr>
            <w:tcW w:type="dxa" w:w="2088"/>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检查项</w:t>
            </w:r>
          </w:p>
        </w:tc>
        <w:tc>
          <w:tcPr>
            <w:tcW w:type="dxa" w:w="6263"/>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合格标准</w:t>
            </w:r>
          </w:p>
        </w:tc>
        <w:tc>
          <w:tcPr>
            <w:tcW w:type="dxa" w:w="1007"/>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勾选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业务对象清晰</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零件、项目、任务编号、流程类别、业务角色均已写明。</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输入资料完整</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系统字段、模型、图纸、参数、标准、历史资料已列清。</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专家判断可复用</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写出了判断依据、优先级、公式/规则、经验边界和异常处理。</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不是操作流水账</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没有写成软件操作流水账或简单结论汇报。</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输出可验收</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交付物、合格标准、未闭环事项、风险提示均清楚。</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bl>
    <w:p>
      <w:pPr>
        <w:spacing w:before="0" w:after="40" w:line="300" w:lineRule="auto"/>
      </w:pPr>
    </w:p>
    <w:sectPr w:rsidR="00FC693F" w:rsidRPr="0006063C" w:rsidSect="00034616">
      <w:headerReference w:type="default" r:id="rId9"/>
      <w:footerReference w:type="default" r:id="rId10"/>
      <w:pgSz w:w="12240" w:h="15840"/>
      <w:pgMar w:top="1152" w:right="1224" w:bottom="1080"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Microsoft YaHei" w:hAnsi="Microsoft YaHei" w:eastAsia="Microsoft YaHei"/>
        <w:b w:val="0"/>
        <w:i w:val="0"/>
        <w:color w:val="4B5563"/>
        <w:sz w:val="16"/>
      </w:rPr>
      <w:t>业务工作案例采集模板：用于沉淀日常设计任务、专家判断和交付验收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icrosoft YaHei" w:hAnsi="Microsoft YaHei" w:eastAsia="Microsoft YaHei"/>
        <w:b w:val="0"/>
        <w:i w:val="0"/>
        <w:color w:val="4B5563"/>
        <w:sz w:val="17"/>
      </w:rPr>
      <w:t>F4 自动化参数化建模及TC回传 | 业务案例模板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