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YaHei" w:hAnsi="Microsoft YaHei" w:eastAsia="Microsoft YaHei"/>
          <w:b/>
          <w:color w:val="000000"/>
          <w:sz w:val="38"/>
        </w:rPr>
        <w:t>智慧农业本体论数据库架构与多模态数据处理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整理两部分内容：一是智慧农业本体论数据库的三层分离架构，包括语义词汇层、业务事实层和知识图层，并给出可执行的落地步骤；二是摄像头、天气、传感器、遥感、文本等不同数据的四层处理结构，说明如何从原始数据转换为统一观测并接入知识图谱。目标是后续在现有梁子湖农场平台中搭建可连接、可溯源的农业数据底座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一、三层分离本体论数据库架构</w:t>
      </w: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1.1 总体思路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不把 CO_320 当作完整图数据库，而是把系统拆成三层：语义词汇层负责概念和指标标准，业务事实层保留 PostgreSQL 中的真实业务记录，知识图层定期生成可查询、可导航的图投影。这样既保留现有业务数据，又能发挥本体论的连接性和可溯源性。</w:t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404040"/>
          <w:sz w:val="20"/>
        </w:rPr>
        <w:t>表 1｜三层架构说明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20"/>
        <w:gridCol w:w="3096"/>
        <w:gridCol w:w="2232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关键内容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是否可重建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语义词汇层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定义概念、关系、观测变量与指标标准，提供跨产品、跨来源的语义一致口径。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AIM、PCSM/OCSM、CO_320、ENVO、AGROVOC、PROV-O、QUDT、SSSOM。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不可由业务数据重建，需要版本化管理和固定哈希。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业务事实层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保存真实生产、观测、库存、质量和溯源数据，是系统的事实源。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PostgreSQL/PostGIS/pgvector 中的 objects、production_batches、farm_records、observations、weather_records、stock_lineage。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只追加，不覆盖；业务数据的权威来源。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知识图层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从业务层和词汇层生成图投影，支持连接、溯源、语义检索与图谱可视化。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Neo4j 或 Apache AGE 中的节点、关系、来源边和版本信息。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可重建，损坏后可从业务层与词汇层重新生成。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1.2 采用三层结构的原因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业务系统保持稳定，不需要把现有 PostgreSQL 整体迁移到图数据库。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本体词表可独立更新，不污染业务表；业务数据也不反过来污染标准词表。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知识图是可重建的派生层，原始数据始终可回溯，不会因为图损坏而丢失事实。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属性图与关联数据可以互转：知识图层可导出 RDF，也可通过 neosemantics 或 Ontop 接入关联数据。</w:t>
      </w: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1.3 详细落地步骤</w:t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404040"/>
          <w:sz w:val="20"/>
        </w:rPr>
        <w:t>表 2｜落地步骤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968"/>
        <w:gridCol w:w="3384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建立版本化本体目录表：ontology_sources、terms、term_relationships、term_mappings、term_metadata。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可追溯的本体目录。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导入参考本体子集并固定版本与哈希：CO_320、ENVO、AGROVOC、PROV-O、QUDT。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标准词表快照。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定义湖北八类产品的通用类型与关系，实例为水稻、莲藕、小龙虾、武昌鱼、油菜、茶叶、柑橘、蕲艾。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通用业务类型与产品实例。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建立业务对象到本体术语的映射，把 metric_definitions、objects、observations 接上标准词表。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业务数据与语义术语的映射。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生成图投影，先在 Neo4j 或 Apache AGE 中建立最小图，包含田块、品种、观测、方法、量表、来源等。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可查询的知识图投影。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用虾稻共作跑通完整链路：田块到水稻和小龙虾，再到农事、观测、方法与量表，最后到产量批次和质量记录。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端到端溯源样例。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接入摄像头、天气、传感器、遥感、文本和官方数据 API，把结果转化为统一观测并挂到图投影。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多模态数据接入。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在图中加入 PROV-O 来源边，使每个结论都能回溯到原始数据、模型版本和人工复核记录。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数据血缘网络。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1.4 与 CO_320 及现有项目的关系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CO_320 只作为水稻性状词典进入语义词汇层，用于标准化观测变量、方法和量表，而不是作为整个农业知识图谱。现有梁子湖农场项目继续以 PostgreSQL 为事实源，不另建一套完全独立的图数据库，而是在事实源之外增加可重建的知识图投影，避免重复维护同一批业务数据。</w:t>
      </w:r>
    </w:p>
    <w:p>
      <w:r>
        <w:br w:type="page"/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二、多模态数据处理的四层结构</w:t>
      </w: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2.1 四层结构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所有数据类型都按原始资产、特征与推理、语义观测、业务知识图四层处理。原始数据只追加，推理结果单独保存，观测统一标准化，最后挂到知识图谱中形成可溯源连接。</w:t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404040"/>
          <w:sz w:val="20"/>
        </w:rPr>
        <w:t>表 3｜多模态数据四层结构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456"/>
        <w:gridCol w:w="4176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原始资产层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不可变保存原始数据，作为所有后续结果的最初证据。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视频、图片、天气时序、传感器读数、光谱影像、文档、手工表格。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特征与推理层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把原始数据转换为可分析的特征或模型结果，并保留算法与版本。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目标检测、分割、计数、气象插值、NDVI、病害分类、OCR、向量化。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语义观测层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统一为标准 Observation，使不同来源、不同模态的数据可比。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metric_id、value、unit、method、scale、confidence、time、location、source。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业务知识图层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连接业务实体、来源和观测，支持跨产品查询与溯源。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田块、作物、品种、批次、设备、模型、活动、来源和血缘关系。</w:t>
            </w:r>
          </w:p>
        </w:tc>
      </w:tr>
    </w:tbl>
    <w:p>
      <w:pPr>
        <w:spacing w:after="0"/>
      </w:pP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处理流向为：原始资产层到特征与推理层，再到语义观测层，最后进入业务知识图层。原始数据始终保持可回链，任何下游结论都必须能够指回对应的原始文件、传感器或模型输出。</w:t>
      </w: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2.2 不同数据类型的处理方式</w:t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404040"/>
          <w:sz w:val="20"/>
        </w:rPr>
        <w:t>表 4｜不同数据类型的处理方式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512"/>
        <w:gridCol w:w="1656"/>
        <w:gridCol w:w="1656"/>
        <w:gridCol w:w="1944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原始形态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关键处理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输出观测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效果保障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摄像头/视频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图片、视频流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目标检测、分割、逐帧取帧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病害疑似、倒伏、虫情、边界框、置信度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保留原图，记录模型版本，低置信度进入人工复核。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天气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逐小时温度、降水、湿度、风速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插值、质量控制、聚合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日均温、积温、降水天数、极端值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保留原始序列，标注插补和缺失状态。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土壤/水质/环境传感器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溶解氧、pH、水温、土壤湿度、EC、氮磷钾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校准、异常检测、时间序列存储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环境与土壤时间序列观测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记录单位、校准时间、传感器精度和异常标志。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遥感/无人机/光谱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栅格、多波段影像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裁剪校正、计算指数、按田块聚合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NDVI、植被覆盖度、疑似缺肥区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空间结果落到田块，结合地面采样验证并做时间序列比较。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文本/报告/标准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PDF、Word、网页、专家经验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OCR、分块、向量化、实体抽取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检索证据、业务规则、结构化指标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回链原文，不允许大模型虚构实测值。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手工填报/官方表格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表格、接口数据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指标映射、单位标准化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品种、播期、产量、品质、病害等级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记录填报人、时间、复核状态和数据来源。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2.3 统一 Observation 观测模型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所有模态最终都归一到 Observation，避免出现图片结论、传感器数值和手工记录各自为政。建议字段如下。</w:t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404040"/>
          <w:sz w:val="20"/>
        </w:rPr>
        <w:t>表 5｜Observation 核心字段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552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4E79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metric_id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标准指标标识，例如 CO_320:0000004，或本地扩展指标。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result_value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观测值或推理结果。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result_unit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单位，建议统一使用 QUDT 或 OM。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result_type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标量、向量、图像区域或时间序列。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模型结果必填，人工或仪器实测可另填复核状态。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method_id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测量或分析方法。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scale_id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量表类型，如序数、名义、数值、日期。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captured_at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采集时间。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valid_at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数据实际代表的时间段。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located_in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田块、水体或行政区位置。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attributed_to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传感器、摄像头、设备或人员。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generated_by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产生该观测的活动或模型运行。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was_derived_from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原始文件或上游观测。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quality_flag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AF2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原始、插补、异常、已复核等质量标志。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source_version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设备固件、模型版本或数据集版本。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color w:val="000000"/>
          <w:sz w:val="23"/>
        </w:rPr>
        <w:t>2.4 保证效果的八项措施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原始数据不可变：视频、图片、传感器原值和影像原图只追加，不覆盖。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派生结果可重算：统计值、指数和检测结果都记录输入来源与算法版本。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指标标准化：统一指标、单位和量表，避免同一指标出现多种写法。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空间和时间必须齐全：没有时间或没有地点的观测不进入业务分析。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模型结果和真实观测分开：AI 检测结果视为推测，人工或仪器实测视为观测。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质量标志与异常检测：缺失、插补、异常、未校准都明确标注。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本体负责精确连接，向量负责相似检索，两者配合使用而不互相替代。</w:t>
      </w:r>
    </w:p>
    <w:p>
      <w:pPr>
        <w:spacing w:after="60" w:line="276" w:lineRule="auto"/>
        <w:ind w:left="346"/>
      </w:pPr>
      <w:r>
        <w:rPr>
          <w:rFonts w:ascii="Microsoft YaHei" w:hAnsi="Microsoft YaHei" w:eastAsia="Microsoft YaHei"/>
          <w:b w:val="0"/>
          <w:color w:val="000000"/>
          <w:sz w:val="21"/>
        </w:rPr>
        <w:t>•  关键结论必须可回链：病害、减产、水质异常等判断都能回溯到原始数据、模型版本和复核记录。</w:t>
      </w:r>
    </w:p>
    <w:p>
      <w:pPr>
        <w:spacing w:after="100" w:line="283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按上述框架，系统最终不是分散的图片、表格和向量库，而是一张可查询、可溯源、可解释的农业知识图谱。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智慧农业本体论数据库架构与多模态数据处理</dc:title>
  <dc:subject>农业本体数据库设计说明</dc:subject>
  <dc:creator>智慧农业项目组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