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/>
        <w:spacing w:line="620" w:lineRule="exact" w:before="160" w:after="28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44"/>
          <w:rFonts w:ascii="微软雅黑" w:hAnsi="微软雅黑" w:eastAsia="微软雅黑"/>
        </w:rPr>
        <w:t>梁子湖农场平台数据库分析</w:t>
      </w:r>
      <w:r>
        <w:br/>
      </w:r>
      <w:r>
        <w:rPr>
          <w:rFonts w:ascii="微软雅黑" w:hAnsi="微软雅黑"/>
          <w:b/>
          <w:color w:val="000000"/>
          <w:sz w:val="44"/>
          <w:rFonts w:ascii="微软雅黑" w:hAnsi="微软雅黑" w:eastAsia="微软雅黑"/>
        </w:rPr>
        <w:t>与本体论数据库对比报告</w:t>
      </w:r>
    </w:p>
    <w:p>
      <w:pPr>
        <w:pStyle w:val="Subtitle"/>
        <w:keepNext w:val="0"/>
        <w:keepLines/>
        <w:spacing w:line="380" w:lineRule="exact" w:before="0" w:after="2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4"/>
          <w:rFonts w:ascii="宋体" w:hAnsi="宋体" w:eastAsia="宋体"/>
        </w:rPr>
        <w:t>源码结构、业务约束、证据链与接轨方案    2026 年 10 月 19 日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本报告依据固定提交的 44 份 SQL 迁移、完整 schema_catalog.json、原项目本地 TypeScript 代码快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照及本体论数据库当前实现作静态分析。没有连接原项目生产数据库，没有导出现场实物记录，也未重跑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原平台整套工程验收。44 份 DDL 的提交来源已记录；本地 TypeScript 快照未逐文件与该提交核对，因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此相关行为注明为快照静态证据。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原平台是围绕农场业务开展事务处理、采集、审核和作业协同的关系型应用系统，已经具有对象身份、时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态绑定、证据归档、库存血缘与公开溯源能力；本体论库应成为它的语义接入与数据供给层。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190 张源表不是 190 个农业本体。源表同时包含实物档案、观测、过程事件、派生结果、审核记录、安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全与运行设施。Excel 导出是带来源的模式映射目录，不能自动证明现场事实。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最重要的接轨约束是保留来源身份、记录性质、版本、业务时间、证据和处理状态，先解决确定映射，再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对未决项给出可操作反馈。不能把所有源表行直接升级为已采纳事实。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数据库结构可验证引用和状态，不能仅凭外键证明因果关系，也不能仅凭导入成功证明设备、质量或农业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效果真实有效。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1 审阅范围 证据等级与统计口径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本次研究固定于源仓库提交 9995fc20cd84093adcaa3fab954ffe9d08b9f45a，以 000—043 迁移顺序归并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CREATE、ALTER、约束和索引，得到最终结构。源 README 的功能和验收描述属于项目自述；本报告不会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将其测试数量复述成本轮已经执行的验证。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统计为 190 张最终存续表、2,114 个字段、555 项外键、1,118 项表约束、37 项显式索引和 248 项表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结构 DDL。索引数不包括 PostgreSQL 自动为主键、唯一约束建立的索引。简单 CHECK 枚举并未被统计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为原生 CREATE TYPE 枚举，目录中的 enum_types 为 0。结构解析未发现未解析表 DDL 或未解析引用，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但这不等于 SQL 已在本轮真实数据库执行。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源文件来自公开 GitHub 页面可见内容。归档文本有可追踪来源与文本校验，尚未核对 Git blob 字节一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致性。因此不使用“完整复刻原仓库”或“原库逐字节验证”的表述。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本地 TypeScript 快照可证实具体函数中的静态逻辑，但缺少 src/db/pool.ts、src/db/migrate.ts 等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实现。只能确认调用了事务封装，不能凭调用点断言连接释放、回滚和迁移锁的全部内部行为已经审阅。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53"/>
        <w:gridCol w:w="2620"/>
        <w:gridCol w:w="2815"/>
        <w:gridCol w:w="2718"/>
      </w:tblGrid>
      <w:tr>
        <w:trPr>
          <w:cantSplit/>
          <w:tblHeader/>
        </w:trPr>
        <w:tc>
          <w:tcPr>
            <w:tcW w:type="dxa" w:w="1553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等级</w:t>
            </w:r>
          </w:p>
        </w:tc>
        <w:tc>
          <w:tcPr>
            <w:tcW w:type="dxa" w:w="2620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依据</w:t>
            </w:r>
          </w:p>
        </w:tc>
        <w:tc>
          <w:tcPr>
            <w:tcW w:type="dxa" w:w="2815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可以支持</w:t>
            </w:r>
          </w:p>
        </w:tc>
        <w:tc>
          <w:tcPr>
            <w:tcW w:type="dxa" w:w="2718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不支持</w:t>
            </w:r>
          </w:p>
        </w:tc>
      </w:tr>
      <w:tr>
        <w:trPr>
          <w:cantSplit/>
        </w:trPr>
        <w:tc>
          <w:tcPr>
            <w:tcW w:type="dxa" w:w="1553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A：固定提交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DDL</w:t>
            </w:r>
          </w:p>
        </w:tc>
        <w:tc>
          <w:tcPr>
            <w:tcW w:type="dxa" w:w="2620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44 份迁移及解析目录</w:t>
            </w:r>
          </w:p>
        </w:tc>
        <w:tc>
          <w:tcPr>
            <w:tcW w:type="dxa" w:w="281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表、字段、外键、CHECK、索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引、触发器的声明</w:t>
            </w:r>
          </w:p>
        </w:tc>
        <w:tc>
          <w:tcPr>
            <w:tcW w:type="dxa" w:w="2718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部署状态、数据规模、生产运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行结果</w:t>
            </w:r>
          </w:p>
        </w:tc>
      </w:tr>
      <w:tr>
        <w:trPr>
          <w:cantSplit/>
        </w:trPr>
        <w:tc>
          <w:tcPr>
            <w:tcW w:type="dxa" w:w="1553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B：本地代码静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态证据</w:t>
            </w:r>
          </w:p>
        </w:tc>
        <w:tc>
          <w:tcPr>
            <w:tcW w:type="dxa" w:w="2620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可读 TypeScript 服务与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API</w:t>
            </w:r>
          </w:p>
        </w:tc>
        <w:tc>
          <w:tcPr>
            <w:tcW w:type="dxa" w:w="281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明确分支、SQL 调用、输入校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验及事务调用点</w:t>
            </w:r>
          </w:p>
        </w:tc>
        <w:tc>
          <w:tcPr>
            <w:tcW w:type="dxa" w:w="2718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未读取模块的行为、测试通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过、完整运行可行性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53"/>
        <w:gridCol w:w="2620"/>
        <w:gridCol w:w="2815"/>
        <w:gridCol w:w="2718"/>
      </w:tblGrid>
      <w:tr>
        <w:trPr>
          <w:cantSplit/>
          <w:tblHeader/>
        </w:trPr>
        <w:tc>
          <w:tcPr>
            <w:tcW w:type="dxa" w:w="1553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等级</w:t>
            </w:r>
          </w:p>
        </w:tc>
        <w:tc>
          <w:tcPr>
            <w:tcW w:type="dxa" w:w="2620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依据</w:t>
            </w:r>
          </w:p>
        </w:tc>
        <w:tc>
          <w:tcPr>
            <w:tcW w:type="dxa" w:w="2815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可以支持</w:t>
            </w:r>
          </w:p>
        </w:tc>
        <w:tc>
          <w:tcPr>
            <w:tcW w:type="dxa" w:w="2718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不支持</w:t>
            </w:r>
          </w:p>
        </w:tc>
      </w:tr>
      <w:tr>
        <w:trPr>
          <w:cantSplit/>
        </w:trPr>
        <w:tc>
          <w:tcPr>
            <w:tcW w:type="dxa" w:w="1553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C：项目说明自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述</w:t>
            </w:r>
          </w:p>
        </w:tc>
        <w:tc>
          <w:tcPr>
            <w:tcW w:type="dxa" w:w="2620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README 与可读设计文档</w:t>
            </w:r>
          </w:p>
        </w:tc>
        <w:tc>
          <w:tcPr>
            <w:tcW w:type="dxa" w:w="281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设计意图、模块目录、上游报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告的完成边界</w:t>
            </w:r>
          </w:p>
        </w:tc>
        <w:tc>
          <w:tcPr>
            <w:tcW w:type="dxa" w:w="2718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本轮已经重新验收</w:t>
            </w:r>
          </w:p>
        </w:tc>
      </w:tr>
      <w:tr>
        <w:trPr>
          <w:cantSplit/>
        </w:trPr>
        <w:tc>
          <w:tcPr>
            <w:tcW w:type="dxa" w:w="1553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D：接轨建议</w:t>
            </w:r>
          </w:p>
        </w:tc>
        <w:tc>
          <w:tcPr>
            <w:tcW w:type="dxa" w:w="2620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基于两套结构的设计判断</w:t>
            </w:r>
          </w:p>
        </w:tc>
        <w:tc>
          <w:tcPr>
            <w:tcW w:type="dxa" w:w="281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应增加的映射、对账、审批和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验证步骤</w:t>
            </w:r>
          </w:p>
        </w:tc>
        <w:tc>
          <w:tcPr>
            <w:tcW w:type="dxa" w:w="2718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已经实现或已导入真实记录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D00 db/migrations/000_platform.sql:1（固定提交 DDL 范围）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C01 README.md:7（项目说明自述）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L01 outputs/liangzihu-ontology-20261015/schema_catalog.json:1（本项目解析产物）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2 底层技术架构与职责分布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原平台前端与业务 API 同属 Next.js / React / TypeScript 工程，业务模块使用 pg 客户端执行参数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化 SQL。独立 Node.js worker 承接采集、后台任务与模型相关工作。README 描述的存储组成是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PostgreSQL、PostGIS、pgvector 与私有本地/S3 文件存储；DDL 中可以直接确认 geometry 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public.vector(512) 的使用。安装版本与现场运行配置仍应由部署环境核对。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典型写入链为 route.ts → writeApi → 会话与来源检查 → 读取受限 JSON → transaction(callback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) → 领域服务 → 参数化 SQL。objects 路由把 POST 委托给 saveObject；writeApi 在事务回调中执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行工作函数。读取链经过 requireActor，再由业务服务按对象和资源权限过滤。浏览器不会直接修改数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据库。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数据库不只是最终报表仓库。它同时保存业务主数据、原始回执、后台任务状态、运行证据和公开资料版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本。后台任务表具备 business_key、状态、租约 token、到期时间、重试次数等字段；这些字段表示数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据库支持任务调度协议，不足以单独证明 worker 的崩溃恢复全部正确。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对象存储负责大文件原件，数据库负责文件元数据、哈希、归属和使用关系。接轨本体论库时应复制可授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权使用的元数据或受控引用，不应把视频原件、临时签名地址或凭据嵌入普通属性，更不应把所有媒体自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动识别为农业结论。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9"/>
        <w:gridCol w:w="3785"/>
        <w:gridCol w:w="3591"/>
      </w:tblGrid>
      <w:tr>
        <w:trPr>
          <w:cantSplit/>
          <w:tblHeader/>
        </w:trPr>
        <w:tc>
          <w:tcPr>
            <w:tcW w:type="dxa" w:w="2329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层</w:t>
            </w:r>
          </w:p>
        </w:tc>
        <w:tc>
          <w:tcPr>
            <w:tcW w:type="dxa" w:w="3785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原项目主要入口</w:t>
            </w:r>
          </w:p>
        </w:tc>
        <w:tc>
          <w:tcPr>
            <w:tcW w:type="dxa" w:w="3591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核心作用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HTTP 与身份入口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src/platform/api.ts；src/app/api/v1/*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认证、同源检查、输入大小限制、事务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边界与响应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领域服务</w:t>
            </w:r>
          </w:p>
        </w:tc>
        <w:tc>
          <w:tcPr>
            <w:tcW w:type="dxa" w:w="378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src/modules/registry、telemetry、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weather、knowledge 等</w:t>
            </w:r>
          </w:p>
        </w:tc>
        <w:tc>
          <w:tcPr>
            <w:tcW w:type="dxa" w:w="35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校验对象、版本、状态与权限；执行一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致性写入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后台任务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workers/*；jobs / job_attempts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异步执行、租约与重试证据；与请求处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理分开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关系数据</w:t>
            </w:r>
          </w:p>
        </w:tc>
        <w:tc>
          <w:tcPr>
            <w:tcW w:type="dxa" w:w="378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db/migrations/000—043</w:t>
            </w:r>
          </w:p>
        </w:tc>
        <w:tc>
          <w:tcPr>
            <w:tcW w:type="dxa" w:w="35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主数据、观测、台账、审核、证据与关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系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空间与检索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geometry(…,4326)；vector(512)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地理对象和知识检索；不等同于本体推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理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9"/>
        <w:gridCol w:w="3785"/>
        <w:gridCol w:w="3591"/>
      </w:tblGrid>
      <w:tr>
        <w:trPr>
          <w:cantSplit/>
          <w:tblHeader/>
        </w:trPr>
        <w:tc>
          <w:tcPr>
            <w:tcW w:type="dxa" w:w="2329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层</w:t>
            </w:r>
          </w:p>
        </w:tc>
        <w:tc>
          <w:tcPr>
            <w:tcW w:type="dxa" w:w="3785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原项目主要入口</w:t>
            </w:r>
          </w:p>
        </w:tc>
        <w:tc>
          <w:tcPr>
            <w:tcW w:type="dxa" w:w="3591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核心作用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私有原件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媒体与地形相关表中的存储引用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保留原件，向数据库输出有来源的元数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据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B01 src/platform/api.ts:7（本地 TypeScript 快照静态证据）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B02 src/app/api/v1/objects/route.ts:1（本地 TypeScript 快照静态证据）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D01 db/migrations/002_registry.sql:1（固定提交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D03 db/migrations/004_jobs.sql:1（固定提交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D07 db/migrations/016_knowledge.sql:1（固定提交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C01 README.md:7（项目说明自述）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3 数据模型全景 主数据 记录 关系与运行设施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为接轨而划分的 16 个领域是本项目的分析分类，不是原仓库正式发布的 16 个农业本体。领域间仍通过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外键、UUID 数组、JSON 引用和业务代码相连。显式外键可自动提取，数组与多态引用需要额外解释。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映射目录将 122 张表归为业务表、55 张归为技术表、13 张归为安全表。这里的“业务表”仍可能是分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析运行、审核或事件记录，不表示每一行都是田块、设备等实物。默认启用清单比全量目录更小，属于导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入边界而非信息丢失；未启用字段须在待映射清单中保留原因。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9"/>
        <w:gridCol w:w="3785"/>
        <w:gridCol w:w="3591"/>
      </w:tblGrid>
      <w:tr>
        <w:trPr>
          <w:cantSplit/>
          <w:tblHeader/>
        </w:trPr>
        <w:tc>
          <w:tcPr>
            <w:tcW w:type="dxa" w:w="2329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映射领域</w:t>
            </w:r>
          </w:p>
        </w:tc>
        <w:tc>
          <w:tcPr>
            <w:tcW w:type="dxa" w:w="3785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表数</w:t>
            </w:r>
          </w:p>
        </w:tc>
        <w:tc>
          <w:tcPr>
            <w:tcW w:type="dxa" w:w="3591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主要内容及边界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治理 / 登记 / 遥测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34 / 16 / 9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身份与授权；场地、设备、测点；原始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回执和观测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作业 / 影像 / 农情</w:t>
            </w:r>
          </w:p>
        </w:tc>
        <w:tc>
          <w:tcPr>
            <w:tcW w:type="dxa" w:w="378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18 / 21 / 7</w:t>
            </w:r>
          </w:p>
        </w:tc>
        <w:tc>
          <w:tcPr>
            <w:tcW w:type="dxa" w:w="35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农事、任务、相片、航次、处理过程与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分析候选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分析 / 天气 / 知识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14 / 5 / 9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指标、预报与实况、资料、检索、助手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相关记录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库存 / 质量 / 植保</w:t>
            </w:r>
          </w:p>
        </w:tc>
        <w:tc>
          <w:tcPr>
            <w:tcW w:type="dxa" w:w="378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12 / 8 / 8</w:t>
            </w:r>
          </w:p>
        </w:tc>
        <w:tc>
          <w:tcPr>
            <w:tcW w:type="dxa" w:w="35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物料台账、批次血缘、检验、质量与溯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源卡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资源 / 农机 / 财务 /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科研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7 / 8 / 9 / 5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资源记录、机具服务、费用补贴、试验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和结果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L01 outputs/liangzihu-ontology-20261015/schema_catalog.json:1（本项目解析产物）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L02 tools/ontology_export/domain_labels.json:1（本项目分析分类）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 xml:space="preserve">4 概念边界与身份机制 先分清 是什么  再连接 哪一个 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objects 是原平台的空间及业务授权对象，kind 取 farm、pond、field、channel、facility。其 id 为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数据库 UUID，code 为业务编号，name 为显示名称，parent_id 构成组织关系，boundary 与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boundary_status 表达空间边界和核验程度。不能把 name 当作唯一身份；对象改名不会因此变成新对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象。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saveObject 对更新采用 version 检查，类型 kind 不允许原地改变，并写入 object_versions 快照。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SQL 层约束与服务层校验相互补充：数据库维护编号唯一与引用有效，服务负责权限、版本冲突、变更理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由等业务语义。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production_batches 表示在特定对象上的生产批次，species、variety、stage 是生产描述；species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是文本，并没有把系统限制为水稻与小龙虾。stock_lots 则是库存或交付中的物料批次，含产品、单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位、干湿口径和库存状态。两类批次相互关联但不能合并为一个类型，否则数量流转与生产周期将混淆。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devices 以 source_id 与 external_id 的组合识别来源设备，points 表示设备上的指标通道，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point_bindings 表示测点在一段时间服务于哪个对象。设备、测点、绑定和读数是四类不同信息，不能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将一个设备 ID 直接当作所有观测的实物归属。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本体论库应保留系统生成 UUID 与外部来源主键的分工：外部系统仍按原表主键识别记录，本体库生成内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部实体身份，并通过来源系统、源表、来源主键进行显式绑定。相同名字只可作为人工候选线索，不能触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发自动实体合并。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9"/>
        <w:gridCol w:w="3785"/>
        <w:gridCol w:w="3591"/>
      </w:tblGrid>
      <w:tr>
        <w:trPr>
          <w:cantSplit/>
          <w:tblHeader/>
        </w:trPr>
        <w:tc>
          <w:tcPr>
            <w:tcW w:type="dxa" w:w="2329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原表 / 概念</w:t>
            </w:r>
          </w:p>
        </w:tc>
        <w:tc>
          <w:tcPr>
            <w:tcW w:type="dxa" w:w="3785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应映射的信息性质</w:t>
            </w:r>
          </w:p>
        </w:tc>
        <w:tc>
          <w:tcPr>
            <w:tcW w:type="dxa" w:w="3591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不能混同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objects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场地 / 设施实体，按 kind 细分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地理实物与平台账号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object_versions</w:t>
            </w:r>
          </w:p>
        </w:tc>
        <w:tc>
          <w:tcPr>
            <w:tcW w:type="dxa" w:w="378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实体版本快照</w:t>
            </w:r>
          </w:p>
        </w:tc>
        <w:tc>
          <w:tcPr>
            <w:tcW w:type="dxa" w:w="35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新的现场实物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production_batches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生产过程对象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库存批号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stock_lots</w:t>
            </w:r>
          </w:p>
        </w:tc>
        <w:tc>
          <w:tcPr>
            <w:tcW w:type="dxa" w:w="378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物料批次对象</w:t>
            </w:r>
          </w:p>
        </w:tc>
        <w:tc>
          <w:tcPr>
            <w:tcW w:type="dxa" w:w="35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田块或生产季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devices / points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设备与采集通道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测量值本身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point_bindings</w:t>
            </w:r>
          </w:p>
        </w:tc>
        <w:tc>
          <w:tcPr>
            <w:tcW w:type="dxa" w:w="378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具有效期与证据的关系</w:t>
            </w:r>
          </w:p>
        </w:tc>
        <w:tc>
          <w:tcPr>
            <w:tcW w:type="dxa" w:w="35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永久不可变的设备位置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weather_records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天气记录，区分实况、预报、警报、基线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未来预报与已发生观测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quality_tests /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crop_analyses</w:t>
            </w:r>
          </w:p>
        </w:tc>
        <w:tc>
          <w:tcPr>
            <w:tcW w:type="dxa" w:w="378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检验记录 / 分析结果</w:t>
            </w:r>
          </w:p>
        </w:tc>
        <w:tc>
          <w:tcPr>
            <w:tcW w:type="dxa" w:w="35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自动成立的质量事实或农业成因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D01 db/migrations/002_registry.sql:1（固定提交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D09 db/migrations/035_stock.sql:10（固定提交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B03 src/modules/registry/objects.ts:8（本地 TypeScript 快照静态证据）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B04 src/modules/registry/points.ts:21（本地 TypeScript 快照静态证据）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B07 src/modules/weather/service.ts:6（本地 TypeScript 快照静态证据）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5 遥测接入的实际代码逻辑 原件 身份 映射 冲突与当前值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遥测服务是本次最完整可审阅的数据流。persistBatch 在同一事务回调中锁定来源、核对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expectedCursor、归档原始回执、逐条写入观测，最后推进游标并更新来源健康状态。因此在该函数层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面，游标与批次记录不会被有意分拆成两次独立提交；事务封装本体的异常处理仍需在完整仓库核验。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archiveReceipt 限制单批原报文 1 MB，计算 SHA-256，并可记录接口契约版本、引用、快照和契约摘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要。函数会检查已解析 JSON 中常见凭据键和 Bearer 鉴权文本，避免直接把运输层认证材料存入证据。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这是针对明确格式的防线，不应理解为可以自动识别所有敏感信息。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ingest 先核对原始回执归属、测点来源、外部设备和 metric，再解析观测身份。readingIdentity 优先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使用来源记录号，没有记录号时退回采样时点与序列号；两者都缺失则进入隔离。随后按 sampledAt 解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析有效 point_binding，未核验映射或绑定冲突也进入 quarantined_readings，保留可追查输入。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单位不一致、非有限数值、未来采样时间会影响质量状态。相同身份与相同内容摘要视为重复，追加回执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关联；相同身份而内容不同则保存两条观测并写 measurement_conflicts，将相关当前值标记可疑，而不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是用后到数据覆盖先到记录。这里的 canonical_id 是系统选定的首个版本，不是绝对真值认证。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只有质量 valid、数值有限、采样时间存在、非人工 origin、未过新鲜度期限、比已有值更新且当前绑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定仍匹配的数据才可能进入 point_current。point_current 是当前展示投影，不应替代不可变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observations 历史。SQLite 或本体导入器若只复制最新值，将失去冲突、换塘历史和接收证据。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应保留 sampled_at、reported_at、received_at 三个时间，分别表达现场测量、来源报告和平台接收；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本体库自身导入时间再单独记录。四个时间不能为了查询方便全部写成 now()。读数与事件产生有记录的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对应，但并非天然存在农业因果。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1. 读取来源状态并核对游标 → 来源不一致或并发游标改变则终止。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2. 归档原报文与契约证据 → 给每条读数绑定 raw_ref。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3. 校验测点身份与采样时点绑定 → 不明确项隔离。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4. 校验单位、数值、时间 → 保留质量与原因。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5. 按身份摘要与内容摘要去重或登记冲突 → 原观测不覆写。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6. 按新鲜度和当前绑定决定是否更新当前投影 → 发布领域事件并入队后续任务。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7. 事务内推进游标 → 返回 inserted、duplicate、conflict 或 quarantined。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B05 src/modules/telemetry/ingest.ts:14（本地 TypeScript 快照静态证据）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B06 src/modules/telemetry/identity.ts:2（本地 TypeScript 快照静态证据）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B08 src/modules/telemetry/quality.ts:2（本地 TypeScript 快照静态证据）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D02 db/migrations/003_telemetry.sql:1（固定提交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D04 db/migrations/009_ingest_contract_evidence.sql:1（固定提交 DDL）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6 关系语义 事件时态 事务与授权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源平台最强的显式关系来自 FK，但 FK 只说明引用完整性。例如 created_by 说明记录创建者，不能解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读为生产责任主体；sample_id 指向样品，不能直接证明整个批次全部合格；supersedes_id 表示修订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链，不能与物料加工上游混用。映射时应明确谓词名、方向、端点类型、关系性质及有效时间。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point_bindings 的时间区间采用 [valid_from, valid_to)，接续边界不重复占用。bindPoint 会锁定测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点、检查时段重叠；对换塘操作还检查旧规则和历史观测，防止将既有读数追溯归属到新塘口。这比单个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current_object_id 更适合溯源。它是具体领域的时态设计，并非整个原库实现了统一双时态数据库。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业务幂等由 request_key、input_hash、唯一约束与 advisory lock 等机制组合实现。例如天气导入按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created_by 与 request_key 检查旧内容，同键异内容返回冲突。设备批量导入使用每行 SAVEPOINT，所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以它是逐行成功/失败的导入模式；不能假定原平台所有批量入口都全有或全无。接轨接口应显式公布自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己的事务语义。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授权同时看角色、对象范围、账户当前状态和服务器当前时间。assertAccess 的注释明确 scope.at 是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业务时间，授权有效性始终按服务器时间检查，避免用历史业务日期绕过已撤销权限。专家资源还要通过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resource_grants 的事项级范围检查。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数据库的 FK、CHECK、唯一约束、触发器与应用层校验不能互相替代。比如只有 SQL 表上的 status 枚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举，不足以保证任意状态跃迁都合法；只有前端表单限制，也挡不住直接 API 请求。接轨时要重复校验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外部输入的结构、来源身份、类属性适用范围、时间与单位。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领域事件的 id 在已读 DDL 中是随机 UUID，consumer_offsets 按 consumer 与 event_id 记录处理情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况，不能直接把最大 UUID 当作严格递增游标。对接增量同步应使用明确的提交序列、已确认的变更流，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或具备补扫与去重的时间窗协议；本体库的 outbox 序列与外部原记录号属于不同编号空间。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B04 src/modules/registry/points.ts:21（本地 TypeScript 快照静态证据）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B07 src/modules/weather/service.ts:6（本地 TypeScript 快照静态证据）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B09 src/modules/registry/import.ts:5（本地 TypeScript 快照静态证据）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B10 src/modules/identity/access.ts:6（本地 TypeScript 快照静态证据）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B11 src/modules/field/common.ts:8（本地 TypeScript 快照静态证据）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D01 db/migrations/002_registry.sql:1（固定提交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D03 db/migrations/004_jobs.sql:1（固定提交 DDL）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7 多模态与知识资料 保留记录性质和证据来源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原平台以不同表承接媒体、天气、遥感地形、知识文档、模型运行等资料。它们有共同的对象范围和来源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原则，但没有完全相同的数据含义。接入本体库首先识别“原件元数据、测量、预报、人工填报、模型候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选、审核结论”中的哪一类，再选择相应记录类型；不得只凭 JSON 能解析就一律转成 observation。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天气服务把 actual、forecast、warning、baseline 分开，保存 sourceVersion、stationRef、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publishedAt、validFrom、validTo 和 comparisonBasis。comparisonAllowed 要求指标、单位、统计方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式、站点、时期、覆盖、物种、品种、阶段和起始日期均可比才返回 true。跨信源比较需要这些上下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文，数据库不应自动用最新预报覆盖历史实况。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知识文档按来源与版本识别，以内容摘要检测同版本冲突；资料需要对象适用范围、来源、正文和证据性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质。审核通过后才能进入索引与检索，撤回后旧引用返回 source_inactive。知识检索支持关键词与 512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维向量组合，保存引用文档、版本、分块和检索版本。检索相似度是排序依据，不是农业事实置信度，也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不是原因证明。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影像、光谱、地形和外部模型结果应保留原件/产品 ID、采集时点、空间范围、处理算法或模型版本、结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果摘要、质量状态及人工核验信息。本体库负责引用完整性、元数据归一和权限边界；识别和预测仍由外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部服务实施。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原始回执与主要观测具有追加保护触发器；部分后期业务表也禁止更新或删除输入事实，而用审核记录、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版本或反向事件表达变化。这有利于追责，但追加保护不自动提供备份、保留期和灾难恢复，仍需独立运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维机制。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D02 db/migrations/003_telemetry.sql:1（固定提交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D05 db/migrations/012_records.sql:1（固定提交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D06 db/migrations/021_weather_connections.sql:1（固定提交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D07 db/migrations/016_knowledge.sql:1（固定提交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D08 db/migrations/034_phase2_terrain.sql:1（固定提交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B07 src/modules/weather/service.ts:6（本地 TypeScript 快照静态证据）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B12 src/modules/knowledge/service.ts:13（本地 TypeScript 快照静态证据）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8 农业溯源 库存血缘 质量证据与公开卡片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原项目并非没有溯源系统。035_stock.sql 已声明 stock_documents、stock_entries、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stock_transformations、stock_lineage、stock_package_events 和 stock_handoffs；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036_quality_trace.sql 已声明样品、检验、证书、质量判断、追溯快照、召回处理与公开溯源卡。接轨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时应继承这些来源语义，不建立互相矛盾的第二份库存账。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库存记录以单据和带正负 delta 的流水表达出入，stock_lineage 把加工输入批次连到输出批次，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stock_documents.reverses_id 表示冲销。生产批次与库存批次之间有明确引用；包装组合与交接记录继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续连接物流过程。DDL 能证明账本与血缘结构，但没有读取对应完整业务服务时，不能声称已经核验所有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数量守恒、超领限制或撤销规则。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质量链为 stock_lots ← quality_samples ← quality_tests，并关联 quality_credentials 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quality_decisions。检验有 method、result、tested_at、valid_until；结果包括 inconclusive，不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能强行折为合格/不合格。证书有效期与 verified 状态是输出依据的一部分。质量判断中的 test_ids、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credential_ids 是 UUID 数组，不等价于逐项外键保障，接入器需要逐个解析、校验对象范围并保留缺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项。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public_trace_cards 保存 code、version、content、证书引用、有效期与 draft/approved/revoked 状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态；trace_queries 则保留正向/反向查询快照和输入摘要。公开卡片是经选择和审核的输出，不应直接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暴露内部图数据库、人员账号、媒体私有地址或全部源报文。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本体库向溯源系统提供的是统一实体身份、来源绑定、证据索引、限定时态的关系路径与修订提示。对同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一批次，应同时呈现物料上游、质量证据、过程记录、空间归属、事件时间与处理状态。若来源证据被撤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回或记录修订，需在增量接口中显式告知使用方失效或变更，不能保持旧公开结论静默有效。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9"/>
        <w:gridCol w:w="3785"/>
        <w:gridCol w:w="3591"/>
      </w:tblGrid>
      <w:tr>
        <w:trPr>
          <w:cantSplit/>
          <w:tblHeader/>
        </w:trPr>
        <w:tc>
          <w:tcPr>
            <w:tcW w:type="dxa" w:w="2329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关系维度</w:t>
            </w:r>
          </w:p>
        </w:tc>
        <w:tc>
          <w:tcPr>
            <w:tcW w:type="dxa" w:w="3785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原平台可用路径</w:t>
            </w:r>
          </w:p>
        </w:tc>
        <w:tc>
          <w:tcPr>
            <w:tcW w:type="dxa" w:w="3591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映射时保留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物料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生产批次 → 库存批次 → 加工输入/输出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→ 包装 → 交接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数量、单位、干湿口径、单据与冲销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质量</w:t>
            </w:r>
          </w:p>
        </w:tc>
        <w:tc>
          <w:tcPr>
            <w:tcW w:type="dxa" w:w="378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批次 → 样品 → 检验；批次 → 证书 /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质量判断</w:t>
            </w:r>
          </w:p>
        </w:tc>
        <w:tc>
          <w:tcPr>
            <w:tcW w:type="dxa" w:w="35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检验方法、有效期、结论性质、审核版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本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现场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场地 → 测点绑定 → 观测 → 原始回执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采样时态、质量标志、绑定依据、原件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摘要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空间 / 影像</w:t>
            </w:r>
          </w:p>
        </w:tc>
        <w:tc>
          <w:tcPr>
            <w:tcW w:type="dxa" w:w="378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场地 → 航次 / 媒体 / 地形 → 分析记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录</w:t>
            </w:r>
          </w:p>
        </w:tc>
        <w:tc>
          <w:tcPr>
            <w:tcW w:type="dxa" w:w="35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采集范围、坐标参考、版本与处理来源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9"/>
        <w:gridCol w:w="3785"/>
        <w:gridCol w:w="3591"/>
      </w:tblGrid>
      <w:tr>
        <w:trPr>
          <w:cantSplit/>
          <w:tblHeader/>
        </w:trPr>
        <w:tc>
          <w:tcPr>
            <w:tcW w:type="dxa" w:w="2329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关系维度</w:t>
            </w:r>
          </w:p>
        </w:tc>
        <w:tc>
          <w:tcPr>
            <w:tcW w:type="dxa" w:w="3785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原平台可用路径</w:t>
            </w:r>
          </w:p>
        </w:tc>
        <w:tc>
          <w:tcPr>
            <w:tcW w:type="dxa" w:w="3591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映射时保留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公开输出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批次 → 追溯快照 → 溯源卡版本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发布依据、允许字段、有效期、撤回状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态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D09 db/migrations/035_stock.sql:10（固定提交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D10 db/migrations/036_quality_trace.sql:1（固定提交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D08 db/migrations/034_phase2_terrain.sql:1（固定提交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N04 implementation/agri/service.py:964（本体库当前实现）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9 扩展业务与重要边界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后期迁移纳入资源、植保、农机、费用补贴与科研。它们说明原平台已超出单一物联网台账，能够表达经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营证据和多过程关系；本体库没有必要照搬每个业务状态机，而应为已明确的数据类型建立可追踪映射。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business_expenses 的 link_kind 与 link_id 是多态引用：link_id 没有由一个普通 FK 直接约束到所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有目标表。自动外键抽取只能列出确定关系，不能声称已覆盖这种关联。迁移 043 又为 subsidy_events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增加 occurred_at 和 corrects_id，区分业务发生时间、内容更正与退款 reverses_id。后续映射必须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按最终结构理解，而不是只读取最初 CREATE TABLE。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control_requests 在 DDL 层明确 CHECK(state='blocked') 和 CHECK(NOT dispatched)。因此本报告只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能确认存在控制准备与阻断记录，不会据表名写成已经对闸门执行远程控制。现阶段本体库保留闸门状态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和外部执行回执的数据入口即可。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同样，crop_analyses、spectral_products、assistant_runs 等存在模型结果字段，并不证明模型已部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署、识别准确或现场效果有效。导入这些结果时应保留“模型生成/待审核”的性质，避免污染事实层。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D11 db/migrations/038_agronomy.sql:59（固定提交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D12 db/migrations/040_services_finance.sql:38（固定提交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D13 db/migrations/043_subsidy_event_time.sql:1（固定提交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D14 db/migrations/042_import_identity.sql:1（固定提交 DDL）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10 与本体论数据库的对比 优势互补及当前限制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两套系统均以关系数据库保存数据，不应将比较简化为 SQL 与图数据库的对立。本体库在关系表中实现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对象、属性定义、类型赋值、限定关系、证据、断言和对象集，再提供图与交换视图；它不是完整 OWL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推理器，也没有因 JSON-LD 导出而自动获得通用 RDF 语义兼容。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当前本体实现对领域包版本保持定义不可变，同时将可修改显示名称与版本定义分开。属性必须属于对象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当前有效语义类，按 usage、数据类型、单位、枚举、数值界限和基数校验。无法唯一确定属性版本时返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回 needs_mapping。这正好补足跨模块字段可能同名异义的接轨难题。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当前图交换采用 agri-graph-exchange/1.0 固定 profile，将限定关系独立表示，并用 payload 保存信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息。代码明确只接收冻结上下文，不支持任意外部 RDF 导入；Turtle 是可交换表达，不是自动同步执行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的数据库写回。若需公共词汇互操作，应在现有 profile 之外增加经过版本管理的词汇映射。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本轮已实现 SourceMappingService 及 005 迁移，提供来源身份绑定、可回滚预检、领域包与映射原子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安装、批次幂等、对象修订、两阶段 FK 解析、单位契约、历史分页和独立来源证据快照。配套适配器支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持 122 个来源类、979 个属性和 409 条外键。它首先完成来源记录到语义库的确定映射，不自动把源记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录升级为原生观测或已采纳事实。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53"/>
        <w:gridCol w:w="2620"/>
        <w:gridCol w:w="2815"/>
        <w:gridCol w:w="2718"/>
      </w:tblGrid>
      <w:tr>
        <w:trPr>
          <w:cantSplit/>
          <w:tblHeader/>
        </w:trPr>
        <w:tc>
          <w:tcPr>
            <w:tcW w:type="dxa" w:w="1553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比较项</w:t>
            </w:r>
          </w:p>
        </w:tc>
        <w:tc>
          <w:tcPr>
            <w:tcW w:type="dxa" w:w="2620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原梁子湖平台</w:t>
            </w:r>
          </w:p>
        </w:tc>
        <w:tc>
          <w:tcPr>
            <w:tcW w:type="dxa" w:w="2815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本体论数据库</w:t>
            </w:r>
          </w:p>
        </w:tc>
        <w:tc>
          <w:tcPr>
            <w:tcW w:type="dxa" w:w="2718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接轨原则</w:t>
            </w:r>
          </w:p>
        </w:tc>
      </w:tr>
      <w:tr>
        <w:trPr>
          <w:cantSplit/>
        </w:trPr>
        <w:tc>
          <w:tcPr>
            <w:tcW w:type="dxa" w:w="1553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目标</w:t>
            </w:r>
          </w:p>
        </w:tc>
        <w:tc>
          <w:tcPr>
            <w:tcW w:type="dxa" w:w="2620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业务办理、监测、审核、生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产与经营协同</w:t>
            </w:r>
          </w:p>
        </w:tc>
        <w:tc>
          <w:tcPr>
            <w:tcW w:type="dxa" w:w="281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统一概念、身份、关系、证据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与数据供给</w:t>
            </w:r>
          </w:p>
        </w:tc>
        <w:tc>
          <w:tcPr>
            <w:tcW w:type="dxa" w:w="2718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原业务保持主责，语义库补充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可查询映射</w:t>
            </w:r>
          </w:p>
        </w:tc>
      </w:tr>
      <w:tr>
        <w:trPr>
          <w:cantSplit/>
        </w:trPr>
        <w:tc>
          <w:tcPr>
            <w:tcW w:type="dxa" w:w="1553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概念与身份</w:t>
            </w:r>
          </w:p>
        </w:tc>
        <w:tc>
          <w:tcPr>
            <w:tcW w:type="dxa" w:w="2620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源表、UUID、业务 code、局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部版本规则</w:t>
            </w:r>
          </w:p>
        </w:tc>
        <w:tc>
          <w:tcPr>
            <w:tcW w:type="dxa" w:w="281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实体身份 + 版本化类与属性定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义</w:t>
            </w:r>
          </w:p>
        </w:tc>
        <w:tc>
          <w:tcPr>
            <w:tcW w:type="dxa" w:w="2718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显式来源身份绑定；名称不做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主键</w:t>
            </w:r>
          </w:p>
        </w:tc>
      </w:tr>
      <w:tr>
        <w:trPr>
          <w:cantSplit/>
        </w:trPr>
        <w:tc>
          <w:tcPr>
            <w:tcW w:type="dxa" w:w="1553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关系语义</w:t>
            </w:r>
          </w:p>
        </w:tc>
        <w:tc>
          <w:tcPr>
            <w:tcW w:type="dxa" w:w="2620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外键、关联表、数组、JSO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N、业务代码</w:t>
            </w:r>
          </w:p>
        </w:tc>
        <w:tc>
          <w:tcPr>
            <w:tcW w:type="dxa" w:w="281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有类型、方向、时效、证据和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状态的关系</w:t>
            </w:r>
          </w:p>
        </w:tc>
        <w:tc>
          <w:tcPr>
            <w:tcW w:type="dxa" w:w="2718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FK 是引用证据；数组与多态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引用单独处理</w:t>
            </w:r>
          </w:p>
        </w:tc>
      </w:tr>
      <w:tr>
        <w:trPr>
          <w:cantSplit/>
        </w:trPr>
        <w:tc>
          <w:tcPr>
            <w:tcW w:type="dxa" w:w="1553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时空与事件</w:t>
            </w:r>
          </w:p>
        </w:tc>
        <w:tc>
          <w:tcPr>
            <w:tcW w:type="dxa" w:w="2620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采样/报告/接收时间，时段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绑定，领域事件</w:t>
            </w:r>
          </w:p>
        </w:tc>
        <w:tc>
          <w:tcPr>
            <w:tcW w:type="dxa" w:w="281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类型有效期、关系有效期、事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件参与与来源</w:t>
            </w:r>
          </w:p>
        </w:tc>
        <w:tc>
          <w:tcPr>
            <w:tcW w:type="dxa" w:w="2718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保留源时间口径，不覆盖成导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入时间</w:t>
            </w:r>
          </w:p>
        </w:tc>
      </w:tr>
      <w:tr>
        <w:trPr>
          <w:cantSplit/>
        </w:trPr>
        <w:tc>
          <w:tcPr>
            <w:tcW w:type="dxa" w:w="1553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观测与证据</w:t>
            </w:r>
          </w:p>
        </w:tc>
        <w:tc>
          <w:tcPr>
            <w:tcW w:type="dxa" w:w="2620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原件摘要、观测质量、冲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突、知识审核</w:t>
            </w:r>
          </w:p>
        </w:tc>
        <w:tc>
          <w:tcPr>
            <w:tcW w:type="dxa" w:w="281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观测与候选/采纳断言分离，证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据包与修订</w:t>
            </w:r>
          </w:p>
        </w:tc>
        <w:tc>
          <w:tcPr>
            <w:tcW w:type="dxa" w:w="2718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预报和模型候选不自动成为事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实</w:t>
            </w:r>
          </w:p>
        </w:tc>
      </w:tr>
      <w:tr>
        <w:trPr>
          <w:cantSplit/>
        </w:trPr>
        <w:tc>
          <w:tcPr>
            <w:tcW w:type="dxa" w:w="1553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约束</w:t>
            </w:r>
          </w:p>
        </w:tc>
        <w:tc>
          <w:tcPr>
            <w:tcW w:type="dxa" w:w="2620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FK / CHECK / UNIQUE / 触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发器 + TS 校验</w:t>
            </w:r>
          </w:p>
        </w:tc>
        <w:tc>
          <w:tcPr>
            <w:tcW w:type="dxa" w:w="281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SQL 约束 + JSON Schema + 类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属性语义校验</w:t>
            </w:r>
          </w:p>
        </w:tc>
        <w:tc>
          <w:tcPr>
            <w:tcW w:type="dxa" w:w="2718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数据库校验输入含义，业务规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则仍由原系统负责</w:t>
            </w:r>
          </w:p>
        </w:tc>
      </w:tr>
      <w:tr>
        <w:trPr>
          <w:cantSplit/>
        </w:trPr>
        <w:tc>
          <w:tcPr>
            <w:tcW w:type="dxa" w:w="1553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业务处理</w:t>
            </w:r>
          </w:p>
        </w:tc>
        <w:tc>
          <w:tcPr>
            <w:tcW w:type="dxa" w:w="2620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库存、农事、质量、人员和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任务等丰富流程</w:t>
            </w:r>
          </w:p>
        </w:tc>
        <w:tc>
          <w:tcPr>
            <w:tcW w:type="dxa" w:w="281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数据库核心与有限的溯源数据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协议</w:t>
            </w:r>
          </w:p>
        </w:tc>
        <w:tc>
          <w:tcPr>
            <w:tcW w:type="dxa" w:w="2718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不复制完整 ERP、识别器或设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备调度器</w:t>
            </w:r>
          </w:p>
        </w:tc>
      </w:tr>
      <w:tr>
        <w:trPr>
          <w:cantSplit/>
        </w:trPr>
        <w:tc>
          <w:tcPr>
            <w:tcW w:type="dxa" w:w="1553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查询输出</w:t>
            </w:r>
          </w:p>
        </w:tc>
        <w:tc>
          <w:tcPr>
            <w:tcW w:type="dxa" w:w="2620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业务 API、报表、溯源卡、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知识检索</w:t>
            </w:r>
          </w:p>
        </w:tc>
        <w:tc>
          <w:tcPr>
            <w:tcW w:type="dxa" w:w="281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图查询、对象集、证据包、固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定 JSON-LD/Turtle profile</w:t>
            </w:r>
          </w:p>
        </w:tc>
        <w:tc>
          <w:tcPr>
            <w:tcW w:type="dxa" w:w="2718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面向代码输出稳定版本和状态</w:t>
            </w:r>
          </w:p>
        </w:tc>
      </w:tr>
      <w:tr>
        <w:trPr>
          <w:cantSplit/>
        </w:trPr>
        <w:tc>
          <w:tcPr>
            <w:tcW w:type="dxa" w:w="1553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并发与运行</w:t>
            </w:r>
          </w:p>
        </w:tc>
        <w:tc>
          <w:tcPr>
            <w:tcW w:type="dxa" w:w="2620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PostgreSQL 锁、队列、租约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协议</w:t>
            </w:r>
          </w:p>
        </w:tc>
        <w:tc>
          <w:tcPr>
            <w:tcW w:type="dxa" w:w="281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PostgreSQL 服务；SQLite 开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发适配器</w:t>
            </w:r>
          </w:p>
        </w:tc>
        <w:tc>
          <w:tcPr>
            <w:tcW w:type="dxa" w:w="2718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SQLite 串行写测试不能证明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PG 并发等价</w:t>
            </w:r>
          </w:p>
        </w:tc>
      </w:tr>
      <w:tr>
        <w:trPr>
          <w:cantSplit/>
        </w:trPr>
        <w:tc>
          <w:tcPr>
            <w:tcW w:type="dxa" w:w="1553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扩展方式</w:t>
            </w:r>
          </w:p>
        </w:tc>
        <w:tc>
          <w:tcPr>
            <w:tcW w:type="dxa" w:w="2620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新增迁移和模块代码</w:t>
            </w:r>
          </w:p>
        </w:tc>
        <w:tc>
          <w:tcPr>
            <w:tcW w:type="dxa" w:w="281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新增领域包、来源映射及必要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迁移</w:t>
            </w:r>
          </w:p>
        </w:tc>
        <w:tc>
          <w:tcPr>
            <w:tcW w:type="dxa" w:w="2718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简单新领域先配定义；新处理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语义再改代码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N01 implementation/agri/ontology_core.py:103（本体库当前实现）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N02 implementation/agri/core_intake.py:66（本体库当前实现）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N03 implementation/agri/exchange.py:1（本体库当前实现）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N04 implementation/agri/service.py:964（本体库当前实现）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N05 implementation/agri/db.py:24（本体库当前实现）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11 接轨执行策略与可核验的验收标准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先按公开结构打通系统，再通过授权导出或 API 接收真实记录。结构目录证明系统知道哪些表和字段可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能出现，不证明已经拥有真实农场、设备、批次或检测数据。首次现场接入应选择一个农场、少量田塘、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设备、测点、绑定和一个批次，按闭环样本核对后扩大。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源平台是原业务事实与状态的维护方。本体库应保存来源系统标识、源表、来源主键、源版本/摘要、来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源更新时间、实际接收时间、映射版本与处理回执。使用稳定内部 UUID，外部导出不要求人工重编原主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键；改变映射规则需要新版本并可比较影响。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对首次导入，先验证类和属性定义，再建立实体身份，最后解析 FK 关系。缺目标记录不应按名称猜测；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应返回明确待补记录，允许补入目标后重试。重复发送相同数据应返回稳定对应，不同内容则需要显式更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新语义或冲突响应，不能静默追加重复实物。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复杂 JSON、空间、多态引用和 UUID 数组先进入待映射清单或受控原始证据。源 SQL NOT NULL、条件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CHECK 和状态机不能机械等价为“属性必填”；例如空数组、复合唯一性和跨行数量约束需要单独处理。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未支持字段应报告，不得默默丢弃后宣称全量成功。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对账以来源行数、接收行数、成功/重复/失败数、绑定数、可解析 FK 数、未决引用数和源摘要为基础。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再抽样沿实物→记录→关系→证据回查，确认批次与设备没有串属，事件时点没有漂移，所有样例均明确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标注真实或合成。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本轮完整回归结果为 378 通过、0 失败、180 跳过。测试使用合成实例与隔离 SQLite；PostgreSQL、原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平台真实数据联调和现场验收均未完成。工具可从授权源库只读导出，再按依赖分批导入，逐批保留回执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和重放身份。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9"/>
        <w:gridCol w:w="3785"/>
        <w:gridCol w:w="3591"/>
      </w:tblGrid>
      <w:tr>
        <w:trPr>
          <w:cantSplit/>
          <w:tblHeader/>
        </w:trPr>
        <w:tc>
          <w:tcPr>
            <w:tcW w:type="dxa" w:w="2329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验证主题</w:t>
            </w:r>
          </w:p>
        </w:tc>
        <w:tc>
          <w:tcPr>
            <w:tcW w:type="dxa" w:w="3785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至少验证的案例</w:t>
            </w:r>
          </w:p>
        </w:tc>
        <w:tc>
          <w:tcPr>
            <w:tcW w:type="dxa" w:w="3591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通过条件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身份与幂等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同一主键重复发送；同名不同主键；不同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租户同源编号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不重复建实体、不误合并、不跨租户读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取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语义校验</w:t>
            </w:r>
          </w:p>
        </w:tc>
        <w:tc>
          <w:tcPr>
            <w:tcW w:type="dxa" w:w="378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未知类型、属性不适用、单位错误、枚举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非法、超范围</w:t>
            </w:r>
          </w:p>
        </w:tc>
        <w:tc>
          <w:tcPr>
            <w:tcW w:type="dxa" w:w="35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返回定位到记录/字段的可修复错误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关系完整性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父记录后到、自引用、循环/非法端点、跨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批次引用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不猜测目标；记录等待或明确拒绝；重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试可收敛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时空与来源</w:t>
            </w:r>
          </w:p>
        </w:tc>
        <w:tc>
          <w:tcPr>
            <w:tcW w:type="dxa" w:w="378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时区缺失、有效期倒置、旧绑定、源版本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变更</w:t>
            </w:r>
          </w:p>
        </w:tc>
        <w:tc>
          <w:tcPr>
            <w:tcW w:type="dxa" w:w="35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保留原时间与证据；拒绝歧义或给出待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核状态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事务与并发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中途失败、并发重复、同键异内容、服务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重启后重试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无半套关系或失控重复；回执稳定且可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恢复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公开输出</w:t>
            </w:r>
          </w:p>
        </w:tc>
        <w:tc>
          <w:tcPr>
            <w:tcW w:type="dxa" w:w="378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撤回证据、未审结论、私有地址和身份字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段</w:t>
            </w:r>
          </w:p>
        </w:tc>
        <w:tc>
          <w:tcPr>
            <w:tcW w:type="dxa" w:w="35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只输出允许字段；失效状态可被下游感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知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真实接轨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原平台授权只读导出与本体库对账、现场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抽样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由真实源数据与人员核验确认，不能以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合成测试替代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L01 outputs/liangzihu-ontology-20261015/schema_catalog.json:1（本项目解析产物）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L02 tools/ontology_export/domain_labels.json:1（本项目分析分类）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N01 implementation/agri/ontology_core.py:103（本体库当前实现）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N02 implementation/agri/core_intake.py:66（本体库当前实现）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N03 implementation/agri/exchange.py:1（本体库当前实现）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N05 implementation/agri/db.py:24（本体库当前实现）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pStyle w:val="Heading1"/>
        <w:keepNext w:val="0"/>
        <w:keepLines/>
        <w:spacing w:line="440" w:lineRule="exact" w:before="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12 评价 风险与后续优先级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原平台的主要价值是把农业现场对象、采样时间、审核依据、物料流和业务责任联系起来。原件追加保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护、冲突保留、时态测点绑定以及修订/冲销链，构成了较好的证据基础。应将这些设计视为接轨资产，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而不是把原库简单评价为“只有普通表”。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主要不足在跨领域语义统一：表结构和服务代码承载大量含义，通用客户端难以知道一个字段是原始观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测、预报、模型候选还是已审结论；某些关系藏在数组、JSON 或多态字段中，无法仅凭 FK 目录自动复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原。新增本体层能够改善这一问题，但需要明确映射责任人、版本和核验机制。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结构复杂度也带来维护成本。190 表与 2,114 字段覆盖面广，但导入接口不应一次暴露全部系统设施。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优先启用登记、遥测、生产/库存批次和质量证据；财务、研究、控制准备和特殊媒体关系按需要逐步扩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展。管理员账号和认证材料应继续由原身份系统管理，业务参与者映射不能兼任登录账号同步。</w:t>
      </w:r>
    </w:p>
    <w:p>
      <w:pPr>
        <w:keepNext w:val="0"/>
        <w:keepLines/>
        <w:spacing w:line="340" w:lineRule="exact" w:before="0" w:after="14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本轮报告不对原项目生产容量、安全完备性或农业效果作保证。需要补充的工程证据包括原项目完整迁移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器/连接池审阅、实际 PostgreSQL 兼容性与并发测试、授权源数据对账、复杂关系补齐以及现场真实性</w:t>
      </w:r>
      <w:r>
        <w:br/>
      </w:r>
      <w:r>
        <w:rPr>
          <w:rFonts w:ascii="宋体" w:hAnsi="宋体"/>
          <w:b w:val="0"/>
          <w:color w:val="000000"/>
          <w:sz w:val="21"/>
          <w:rFonts w:ascii="宋体" w:hAnsi="宋体" w:eastAsia="宋体"/>
        </w:rPr>
        <w:t>核验。报告内“已证”描述均可回到下列证据目录，不依赖演示数据推定。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9"/>
        <w:gridCol w:w="3785"/>
        <w:gridCol w:w="3591"/>
      </w:tblGrid>
      <w:tr>
        <w:trPr>
          <w:cantSplit/>
          <w:tblHeader/>
        </w:trPr>
        <w:tc>
          <w:tcPr>
            <w:tcW w:type="dxa" w:w="2329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优先级</w:t>
            </w:r>
          </w:p>
        </w:tc>
        <w:tc>
          <w:tcPr>
            <w:tcW w:type="dxa" w:w="3785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事项</w:t>
            </w:r>
          </w:p>
        </w:tc>
        <w:tc>
          <w:tcPr>
            <w:tcW w:type="dxa" w:w="3591"/>
            <w:vAlign w:val="center"/>
            <w:shd w:fill="DDEAF2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微软雅黑" w:hAnsi="微软雅黑"/>
                <w:b/>
                <w:color w:val="000000"/>
                <w:sz w:val="19"/>
                <w:rFonts w:ascii="微软雅黑" w:hAnsi="微软雅黑" w:eastAsia="微软雅黑"/>
              </w:rPr>
              <w:t>完成依据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P0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稳定来源身份、输入合同、错误定位、幂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等和事务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自动化负例及并发测试 + 可复查导入回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执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P0</w:t>
            </w:r>
          </w:p>
        </w:tc>
        <w:tc>
          <w:tcPr>
            <w:tcW w:type="dxa" w:w="378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避免把源记录、模型结果或预报误当现场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事实</w:t>
            </w:r>
          </w:p>
        </w:tc>
        <w:tc>
          <w:tcPr>
            <w:tcW w:type="dxa" w:w="35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类型映射审阅 + 证据性质输出检查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P1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FK 关系闭环与未决引用治理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关系对账、补数重试、人工抽样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P1</w:t>
            </w:r>
          </w:p>
        </w:tc>
        <w:tc>
          <w:tcPr>
            <w:tcW w:type="dxa" w:w="378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公开溯源输出与失效通知</w:t>
            </w:r>
          </w:p>
        </w:tc>
        <w:tc>
          <w:tcPr>
            <w:tcW w:type="dxa" w:w="35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白名单和撤回传播测试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P2</w:t>
            </w:r>
          </w:p>
        </w:tc>
        <w:tc>
          <w:tcPr>
            <w:tcW w:type="dxa" w:w="3785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空间、数组、复杂 JSON 与多态引用扩展</w:t>
            </w:r>
          </w:p>
        </w:tc>
        <w:tc>
          <w:tcPr>
            <w:tcW w:type="dxa" w:w="3591"/>
            <w:vAlign w:val="center"/>
            <w:shd w:fill="FFFFFF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专项映射说明、版本与验证案例</w:t>
            </w:r>
          </w:p>
        </w:tc>
      </w:tr>
      <w:tr>
        <w:trPr>
          <w:cantSplit/>
        </w:trPr>
        <w:tc>
          <w:tcPr>
            <w:tcW w:type="dxa" w:w="2329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上线前</w:t>
            </w:r>
          </w:p>
        </w:tc>
        <w:tc>
          <w:tcPr>
            <w:tcW w:type="dxa" w:w="3785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真实 PostgreSQL 与现场验证</w:t>
            </w:r>
          </w:p>
        </w:tc>
        <w:tc>
          <w:tcPr>
            <w:tcW w:type="dxa" w:w="3591"/>
            <w:vAlign w:val="center"/>
            <w:shd w:fill="F4F7F9"/>
          </w:tcPr>
          <w:p>
            <w:pPr>
              <w:keepNext w:val="0"/>
              <w:spacing w:line="280" w:lineRule="exact"/>
              <w:snapToGrid w:val="0"/>
              <w:autoSpaceDE w:val="0"/>
              <w:autoSpaceDN w:val="0"/>
            </w:pP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环境、数据性质、通过/失败/跳过结果</w:t>
            </w:r>
            <w:r>
              <w:br/>
            </w:r>
            <w:r>
              <w:rPr>
                <w:rFonts w:ascii="宋体" w:hAnsi="宋体"/>
                <w:b w:val="0"/>
                <w:color w:val="000000"/>
                <w:sz w:val="19"/>
                <w:rFonts w:ascii="宋体" w:hAnsi="宋体" w:eastAsia="宋体"/>
              </w:rPr>
              <w:t>分别留档</w:t>
            </w:r>
          </w:p>
        </w:tc>
      </w:tr>
    </w:tbl>
    <w:p>
      <w:pPr>
        <w:spacing w:line="140" w:lineRule="exact"/>
        <w:snapToGrid w:val="0"/>
        <w:autoSpaceDE w:val="0"/>
        <w:autoSpaceDN w:val="0"/>
      </w:pP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D01 db/migrations/002_registry.sql:1（固定提交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D02 db/migrations/003_telemetry.sql:1（固定提交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D09 db/migrations/035_stock.sql:10（固定提交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D10 db/migrations/036_quality_trace.sql:1（固定提交 DDL）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N05 implementation/agri/db.py:24（本体库当前实现）</w:t>
      </w:r>
    </w:p>
    <w:p>
      <w:pPr>
        <w:pStyle w:val="Heading1"/>
        <w:keepNext w:val="0"/>
        <w:keepLines/>
        <w:spacing w:line="440" w:lineRule="exact" w:before="280" w:after="16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8"/>
          <w:rFonts w:ascii="微软雅黑" w:hAnsi="微软雅黑" w:eastAsia="微软雅黑"/>
        </w:rPr>
        <w:t>附录 代码与结构证据索引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db/migrations/000_platform.sql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D00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固定提交 DDL 范围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db/migrations/000_platform.sql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000—043 共 44 份；详细覆盖与文本来源见 schema_catalog.json、源码覆盖工作表。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https://github.com/8jdkds7nzz-hub/liangzihu-farm-platform/blob/9995fc20cd84093adcaa3fab954ffe9d08b9f45a/db/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migrations/000_platform.sql#L1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db/migrations/002_registry.sql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固定提交 DDL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db/migrations/002_registry.sql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对象、版本、生产批次、来源、设备、测点与时态绑定。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https://github.com/8jdkds7nzz-hub/liangzihu-farm-platform/blob/9995fc20cd84093adcaa3fab954ffe9d08b9f45a/db/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migrations/002_registry.sql#L1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db/migrations/003_telemetry.sql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D02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固定提交 DDL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db/migrations/003_telemetry.sql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原回执、观测、冲突、隔离、当前值、游标和追加保护触发器。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https://github.com/8jdkds7nzz-hub/liangzihu-farm-platform/blob/9995fc20cd84093adcaa3fab954ffe9d08b9f45a/db/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migrations/003_telemetry.sql#L1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db/migrations/004_jobs.sql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D03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固定提交 DDL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db/migrations/004_jobs.sql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任务、租约、尝试、领域事件、消费者去重。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https://github.com/8jdkds7nzz-hub/liangzihu-farm-platform/blob/9995fc20cd84093adcaa3fab954ffe9d08b9f45a/db/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migrations/004_jobs.sql#L1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db/migrations/009_ingest_contract_evidence.sql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D04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固定提交 DDL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db/migrations/009_ingest_contract_evidence.sql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原报文契约证据字段。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https://github.com/8jdkds7nzz-hub/liangzihu-farm-platform/blob/9995fc20cd84093adcaa3fab954ffe9d08b9f45a/db/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migrations/009_ingest_contract_evidence.sql#L1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spacing w:line="380" w:lineRule="exact" w:before="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db/migrations/012_records.sql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D05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固定提交 DDL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db/migrations/012_records.sql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媒体、农事记录与附件关系。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https://github.com/8jdkds7nzz-hub/liangzihu-farm-platform/blob/9995fc20cd84093adcaa3fab954ffe9d08b9f45a/db/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migrations/012_records.sql#L1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db/migrations/021_weather_connections.sql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D06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固定提交 DDL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db/migrations/021_weather_connections.sql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天气接入、版本与接收时间扩展。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https://github.com/8jdkds7nzz-hub/liangzihu-farm-platform/blob/9995fc20cd84093adcaa3fab954ffe9d08b9f45a/db/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migrations/021_weather_connections.sql#L1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db/migrations/016_knowledge.sql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D07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固定提交 DDL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db/migrations/016_knowledge.sql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资料状态、分块和 512 维向量。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https://github.com/8jdkds7nzz-hub/liangzihu-farm-platform/blob/9995fc20cd84093adcaa3fab954ffe9d08b9f45a/db/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migrations/016_knowledge.sql#L1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db/migrations/034_phase2_terrain.sql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D08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固定提交 DDL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db/migrations/034_phase2_terrain.sql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地形、测量基准、审核、水力关系。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https://github.com/8jdkds7nzz-hub/liangzihu-farm-platform/blob/9995fc20cd84093adcaa3fab954ffe9d08b9f45a/db/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migrations/034_phase2_terrain.sql#L1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db/migrations/035_stock.sql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D09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固定提交 DDL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db/migrations/035_stock.sql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10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库存批次、单据、台账、加工链、包装和交接。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https://github.com/8jdkds7nzz-hub/liangzihu-farm-platform/blob/9995fc20cd84093adcaa3fab954ffe9d08b9f45a/db/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migrations/035_stock.sql#L10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db/migrations/036_quality_trace.sql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D10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固定提交 DDL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db/migrations/036_quality_trace.sql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样品、检验、证书、质量判断、追溯快照和公开卡片。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https://github.com/8jdkds7nzz-hub/liangzihu-farm-platform/blob/9995fc20cd84093adcaa3fab954ffe9d08b9f45a/db/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migrations/036_quality_trace.sql#L1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db/migrations/038_agronomy.sql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D11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固定提交 DDL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db/migrations/038_agronomy.sql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59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控制请求强制 blocked 且 dispatched=false；农情候选与光谱产品。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https://github.com/8jdkds7nzz-hub/liangzihu-farm-platform/blob/9995fc20cd84093adcaa3fab954ffe9d08b9f45a/db/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migrations/038_agronomy.sql#L59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db/migrations/040_services_finance.sql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D12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固定提交 DDL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db/migrations/040_services_finance.sql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38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费用多态引用、付款/冲销与补贴事件。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https://github.com/8jdkds7nzz-hub/liangzihu-farm-platform/blob/9995fc20cd84093adcaa3fab954ffe9d08b9f45a/db/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migrations/040_services_finance.sql#L38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db/migrations/043_subsidy_event_time.sql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D13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固定提交 DDL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db/migrations/043_subsidy_event_time.sql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occurred_at、corrects_id、更正与退款区分。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https://github.com/8jdkds7nzz-hub/liangzihu-farm-platform/blob/9995fc20cd84093adcaa3fab954ffe9d08b9f45a/db/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migrations/043_subsidy_event_time.sql#L1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spacing w:line="380" w:lineRule="exact" w:before="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db/migrations/042_import_identity.sql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D14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固定提交 DDL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db/migrations/042_import_identity.sql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植保来源导入身份与追加保护。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https://github.com/8jdkds7nzz-hub/liangzihu-farm-platform/blob/9995fc20cd84093adcaa3fab954ffe9d08b9f45a/db/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migrations/042_import_identity.sql#L1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src/platform/api.ts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本地 TypeScript 快照静态证据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src/platform/api.ts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7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readApi/writeApi 认证与事务调用点；未直接读取事务封装本体。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https://github.com/8jdkds7nzz-hub/liangzihu-farm-platform/blob/main/src/platform/api.ts#L7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src/app/api/v1/objects/route.ts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B02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本地 TypeScript 快照静态证据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src/app/api/v1/objects/route.ts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对象路由委托到业务服务。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https://github.com/8jdkds7nzz-hub/liangzihu-farm-platform/blob/main/src/app/api/v1/objects/route.ts#L1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src/modules/registry/objects.ts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B03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本地 TypeScript 快照静态证据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src/modules/registry/objects.ts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8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对象版本检查、类型禁止原地改变与历史快照。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https://github.com/8jdkds7nzz-hub/liangzihu-farm-platform/blob/main/src/modules/registry/objects.ts#L8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src/modules/registry/points.ts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B04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本地 TypeScript 快照静态证据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src/modules/registry/points.ts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21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时段重叠校验、历史保护与按采样时间解析。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https://github.com/8jdkds7nzz-hub/liangzihu-farm-platform/blob/main/src/modules/registry/points.ts#L21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spacing w:line="380" w:lineRule="exact" w:before="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src/modules/telemetry/ingest.ts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B05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本地 TypeScript 快照静态证据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src/modules/telemetry/ingest.ts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14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归档、隔离、幂等、冲突、当前值与批次游标。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https://github.com/8jdkds7nzz-hub/liangzihu-farm-platform/blob/main/src/modules/telemetry/ingest.ts#L14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src/modules/telemetry/identity.ts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B06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本地 TypeScript 快照静态证据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src/modules/telemetry/identity.ts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2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读数身份与内容摘要输入规则。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https://github.com/8jdkds7nzz-hub/liangzihu-farm-platform/blob/main/src/modules/telemetry/identity.ts#L2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src/modules/weather/service.ts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B07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本地 TypeScript 快照静态证据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src/modules/weather/service.ts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6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天气性质、幂等与可比较上下文；文件使用长行编码。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https://github.com/8jdkds7nzz-hub/liangzihu-farm-platform/blob/main/src/modules/weather/service.ts#L6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src/modules/telemetry/quality.ts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B08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本地 TypeScript 快照静态证据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src/modules/telemetry/quality.ts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2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当前读数可用性与新鲜度。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https://github.com/8jdkds7nzz-hub/liangzihu-farm-platform/blob/main/src/modules/telemetry/quality.ts#L2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src/modules/registry/import.ts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B09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本地 TypeScript 快照静态证据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src/modules/registry/import.ts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5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设备导入 1—50 行、逐行 SAVEPOINT。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https://github.com/8jdkds7nzz-hub/liangzihu-farm-platform/blob/main/src/modules/registry/import.ts#L5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spacing w:line="380" w:lineRule="exact" w:before="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src/modules/identity/access.ts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B10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本地 TypeScript 快照静态证据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src/modules/identity/access.ts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6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角色、对象授权、服务器时间和集成令牌。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https://github.com/8jdkds7nzz-hub/liangzihu-farm-platform/blob/main/src/modules/identity/access.ts#L6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src/modules/field/common.ts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B11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本地 TypeScript 快照静态证据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src/modules/field/common.ts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8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专家资源范围、对象版本、幂等锁和内容冲突。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https://github.com/8jdkds7nzz-hub/liangzihu-farm-platform/blob/main/src/modules/field/common.ts#L8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src/modules/knowledge/service.ts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B12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本地 TypeScript 快照静态证据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src/modules/knowledge/service.ts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13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文档版本/审批、索引、权限内检索、引用失效；长行代码。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https://github.com/8jdkds7nzz-hub/liangzihu-farm-platform/blob/main/src/modules/knowledge/service.ts#L13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README.md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C01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项目说明自述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README.md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7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本地工程验证版、架构与现场边界；未作为本轮验收结果。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https://github.com/8jdkds7nzz-hub/liangzihu-farm-platform/blob/main/README.md#L7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outputs/liangzihu-ontology-20261015/schema_catalog.json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L01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本项目解析产物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outputs/liangzihu-ontology-20261015/schema_catalog.json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最终表/字段/FK/约束统计、覆盖与解析局限。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https://github.com/lianggeming14/liangzihu-ontology-traceability/blob/main/outputs/liangzihu-ontology-20261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015/schema_catalog.json#L1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pStyle w:val="Heading2"/>
        <w:keepNext w:val="0"/>
        <w:keepLines/>
        <w:spacing w:line="380" w:lineRule="exact" w:before="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tools/ontology_export/domain_labels.json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L02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本项目分析分类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tools/ontology_export/domain_labels.json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16 领域、190 源表、业务/技术/安全分类；不是上游正式本体定义。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https://github.com/lianggeming14/liangzihu-ontology-traceability/blob/main/tools/ontology_export/domain_lab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els.json#L1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implementation/agri/ontology_core.py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N01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本体库当前实现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implementation/agri/ontology_core.py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103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领域包、显示名称、属性适用性、观测、关系与证据包。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https://github.com/lianggeming14/liangzihu-ontology-traceability/blob/main/implementation/agri/ontology_cor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e.py#L103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implementation/agri/core_intake.py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N02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本体库当前实现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implementation/agri/core_intake.py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66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输入分类、映射、处理回执、重试与预览。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https://github.com/lianggeming14/liangzihu-ontology-traceability/blob/main/implementation/agri/core_intake.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py#L66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implementation/agri/exchange.py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N03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本体库当前实现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implementation/agri/exchange.py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1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固定 graph exchange profile；不是通用 RDF 导入或 OWL 引擎。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https://github.com/lianggeming14/liangzihu-ontology-traceability/blob/main/implementation/agri/exchange.py#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L1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implementation/agri/service.py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N04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本体库当前实现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implementation/agri/service.py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964</w:t>
      </w:r>
    </w:p>
    <w:p>
      <w:pPr>
        <w:pageBreakBefore/>
        <w:spacing w:line="20" w:lineRule="exact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2"/>
          <w:rFonts w:ascii="宋体" w:hAnsi="宋体" w:eastAsia="宋体"/>
        </w:rPr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血缘、证据撤回、公开溯源、召回、对象集和图。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https://github.com/lianggeming14/liangzihu-ontology-traceability/blob/main/implementation/agri/service.py#L</w:t>
      </w:r>
      <w:r>
        <w:br/>
      </w: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964</w:t>
      </w:r>
    </w:p>
    <w:p>
      <w:pPr>
        <w:pStyle w:val="Heading2"/>
        <w:keepNext w:val="0"/>
        <w:keepLines/>
        <w:spacing w:line="380" w:lineRule="exact" w:before="180" w:after="100"/>
        <w:snapToGrid w:val="0"/>
        <w:autoSpaceDE w:val="0"/>
        <w:autoSpaceDN w:val="0"/>
      </w:pPr>
      <w:r>
        <w:rPr>
          <w:rFonts w:ascii="微软雅黑" w:hAnsi="微软雅黑"/>
          <w:b/>
          <w:color w:val="000000"/>
          <w:sz w:val="23"/>
          <w:rFonts w:ascii="微软雅黑" w:hAnsi="微软雅黑" w:eastAsia="微软雅黑"/>
        </w:rPr>
        <w:t>implementation/agri/db.py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N05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本体库当前实现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implementation/agri/db.py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24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PostgreSQL 事务与迁移；SQLite 适配器在 sqlite_db.py 明确不声称并发等价。</w:t>
      </w:r>
    </w:p>
    <w:p>
      <w:pPr>
        <w:keepNext w:val="0"/>
        <w:keepLines/>
        <w:spacing w:line="280" w:lineRule="exact" w:before="0" w:after="80"/>
        <w:snapToGrid w:val="0"/>
        <w:autoSpaceDE w:val="0"/>
        <w:autoSpaceDN w:val="0"/>
      </w:pPr>
      <w:r>
        <w:rPr>
          <w:rFonts w:ascii="宋体" w:hAnsi="宋体"/>
          <w:b w:val="0"/>
          <w:color w:val="000000"/>
          <w:sz w:val="18"/>
          <w:rFonts w:ascii="宋体" w:hAnsi="宋体" w:eastAsia="宋体"/>
        </w:rPr>
        <w:t>https://github.com/lianggeming14/liangzihu-ontology-traceability/blob/main/implementation/agri/db.py#L24</w:t>
      </w:r>
    </w:p>
    <w:sectPr w:rsidR="00FC693F" w:rsidRPr="0006063C" w:rsidSect="00034616">
      <w:footerReference w:type="default" r:id="rId9"/>
      <w:pgSz w:w="11906" w:h="16838"/>
      <w:pgMar w:top="960" w:right="1100" w:bottom="1140" w:left="1100" w:header="720" w:footer="4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b w:val="0"/>
        <w:color w:val="000000"/>
        <w:sz w:val="17"/>
        <w:rFonts w:ascii="宋体" w:hAnsi="宋体" w:eastAsia="宋体"/>
      </w:rPr>
      <w:t xml:space="preserve">梁子湖农业数据工程    </w:t>
    </w:r>
    <w:r>
      <w:rPr>
        <w:rFonts w:ascii="宋体" w:hAnsi="宋体"/>
        <w:b w:val="0"/>
        <w:color w:val="000000"/>
        <w:sz w:val="17"/>
        <w:rFonts w:ascii="宋体" w:hAnsi="宋体" w:eastAsia="宋体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widowControl w:val="0"/>
      <w:spacing w:before="0" w:after="0"/>
    </w:pPr>
    <w:rPr>
      <w:rFonts w:ascii="宋体" w:hAnsi="宋体"/>
      <w:color w:val="000000"/>
      <w:sz w:val="21"/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widowControl w:val="0"/>
      <w:spacing w:before="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1"/>
      <w:szCs w:val="28"/>
      <w:rFonts w:ascii="宋体" w:hAnsi="宋体" w:eastAsia="宋体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pageBreakBefore w:val="0"/>
      <w:widowControl w:val="0"/>
      <w:spacing w:before="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21"/>
      <w:szCs w:val="26"/>
      <w:rFonts w:ascii="宋体" w:hAnsi="宋体" w:eastAsia="宋体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ageBreakBefore w:val="0"/>
      <w:widowControl w:val="0"/>
      <w:spacing w:after="0" w:line="240" w:lineRule="auto" w:before="0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21"/>
      <w:szCs w:val="52"/>
      <w:rFonts w:ascii="宋体" w:hAnsi="宋体" w:eastAsia="宋体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pageBreakBefore w:val="0"/>
      <w:widowControl w:val="0"/>
      <w:numPr>
        <w:ilvl w:val="1"/>
      </w:numPr>
      <w:spacing w:before="0" w:after="0"/>
    </w:pPr>
    <w:rPr>
      <w:rFonts w:asciiTheme="majorHAnsi" w:eastAsiaTheme="majorEastAsia" w:hAnsiTheme="majorHAnsi" w:cstheme="majorBidi" w:ascii="宋体" w:hAnsi="宋体"/>
      <w:i/>
      <w:iCs/>
      <w:color w:val="000000"/>
      <w:spacing w:val="15"/>
      <w:sz w:val="21"/>
      <w:szCs w:val="24"/>
      <w:rFonts w:ascii="宋体" w:hAnsi="宋体" w:eastAsia="宋体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梁子湖农场平台数据库分析
与本体论数据库对比报告</dc:title>
  <dc:subject>源码结构、业务约束、证据链与接轨方案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