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77FF"/>
          <w:sz w:val="44"/>
        </w:rPr>
        <w:t>I-DOMS 散件发货</w:t>
        <w:br/>
        <w:t>功能说明与业务规则</w:t>
      </w:r>
    </w:p>
    <w:p>
      <w:pPr>
        <w:jc w:val="center"/>
      </w:pPr>
      <w:r>
        <w:rPr>
          <w:rFonts w:ascii="PingFang SC" w:hAnsi="PingFang SC" w:eastAsia="PingFang SC"/>
          <w:color w:val="666666"/>
          <w:sz w:val="20"/>
        </w:rPr>
        <w:t>文档版本：V1.0    生成日期：2026-06-04</w:t>
        <w:br/>
        <w:t>基于 i-doms-web 当前实现整理</w:t>
      </w:r>
    </w:p>
    <w:p/>
    <w:p>
      <w:pPr>
        <w:pStyle w:val="Heading1"/>
      </w:pPr>
      <w:r>
        <w:rPr>
          <w:rFonts w:ascii="PingFang SC" w:hAnsi="PingFang SC" w:eastAsia="PingFang SC"/>
        </w:rPr>
        <w:t>一、功能概述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散件发货是 I-DOMS 销售发货能力中的一种交付方式。与「整机发货」按产品数量整批出库不同，散件发货面向交付方式为「散件」的销售订单明细行，允许用户按 EBOM（工程物料清单）逐物料勾选本次发运数量，实现零部件、组件的分批发运。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适用场景包括但不限于：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客户分阶段收货，先发关键零部件、后发其余物料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软件/零部件类履约（历史订单头「履约方式」为「软件零部件发货」时，行级默认映射为散件）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同一销售订单中整机行与散件行并存，可在一次「申请发货」中分别处理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功能入口：销售管理 → 销售订单 → 勾选订单 → 申请发货。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在申请发货弹窗中，系统按销售明细行的交付方式自动拆分为「整机发货」与「散件发运」两个区块；散件行通过「选择发运物料」抽屉从 EBOM 中拣选物料。</w:t>
      </w:r>
    </w:p>
    <w:p>
      <w:pPr>
        <w:pStyle w:val="Heading1"/>
      </w:pPr>
      <w:r>
        <w:rPr>
          <w:rFonts w:ascii="PingFang SC" w:hAnsi="PingFang SC" w:eastAsia="PingFang SC"/>
        </w:rPr>
        <w:t>二、核心概念与数据来源</w:t>
      </w:r>
    </w:p>
    <w:p>
      <w:pPr>
        <w:pStyle w:val="Heading2"/>
      </w:pPr>
      <w:r>
        <w:rPr>
          <w:rFonts w:ascii="PingFang SC" w:hAnsi="PingFang SC" w:eastAsia="PingFang SC"/>
        </w:rPr>
        <w:t>2.1 交付方式（行级）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取值</w:t>
            </w:r>
          </w:p>
        </w:tc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整机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按产品数量发货，填写「本次发货数量」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散件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按 EBOM 物料拣选发运，不填写产品级发货数量</w:t>
            </w:r>
          </w:p>
        </w:tc>
      </w:tr>
    </w:tbl>
    <w:p/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交付方式判定规则：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销售订单明细行若已设置 deliveryMode 为「整机」或「散件」，以行级为准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若行级未设置，且订单头履约方式为「软件零部件发货」，则映射为「散件」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其余情况默认为「整机」</w:t>
      </w:r>
    </w:p>
    <w:p>
      <w:pPr>
        <w:pStyle w:val="Heading2"/>
      </w:pPr>
      <w:r>
        <w:rPr>
          <w:rFonts w:ascii="PingFang SC" w:hAnsi="PingFang SC" w:eastAsia="PingFang SC"/>
        </w:rPr>
        <w:t>2.2 EBOM 快照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散件发运依赖销售订单明细行上的 EBOM 快照（ebomSnapshot）。自产销售订单审核通过时，系统为每条明细行：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校验产品已关联、且存在「使用中」状态的产品 BOM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按销售数量 × BOM 结构展开物料树，生成 ebomSnapshot（含 materials 树形结构）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同步规范化行级 deliveryMode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若 EBOM 快照为空（未审核、无 BOM、或物料树未生成），散件发运抽屉将提示「无 EBOM 物料，请确认订单已审核并生成 EBOM」。</w:t>
      </w:r>
    </w:p>
    <w:p>
      <w:pPr>
        <w:pStyle w:val="Heading2"/>
      </w:pPr>
      <w:r>
        <w:rPr>
          <w:rFonts w:ascii="PingFang SC" w:hAnsi="PingFang SC" w:eastAsia="PingFang SC"/>
        </w:rPr>
        <w:t>2.3 散件发运数据结构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字段/对象</w:t>
            </w:r>
          </w:p>
        </w:tc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scatterShipments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申请发货表单中的散件发运行列表，每行对应一条散件销售明细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materialPicks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由 EBOM 展平生成的可拣选物料行（含需求、库存、缺口、发运数量等）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ebomSnapshotId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关联的 EBOM 快照 ID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remark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散件行级发运备注（在选择发运物料抽屉中填写）</w:t>
            </w:r>
          </w:p>
        </w:tc>
      </w:tr>
    </w:tbl>
    <w:p/>
    <w:p>
      <w:pPr>
        <w:pStyle w:val="Heading1"/>
      </w:pPr>
      <w:r>
        <w:rPr>
          <w:rFonts w:ascii="PingFang SC" w:hAnsi="PingFang SC" w:eastAsia="PingFang SC"/>
        </w:rPr>
        <w:t>三、功能描述</w:t>
      </w:r>
    </w:p>
    <w:p>
      <w:pPr>
        <w:pStyle w:val="Heading2"/>
      </w:pPr>
      <w:r>
        <w:rPr>
          <w:rFonts w:ascii="PingFang SC" w:hAnsi="PingFang SC" w:eastAsia="PingFang SC"/>
        </w:rPr>
        <w:t>3.1 销售订单维护（前置）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新建/编辑销售订单时，明细行可设置「交付方式」为整机或散件（默认整机）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自产销售订单审核通过后自动绑定 BOM 并生成 EBOM 快照，为散件发运提供物料清单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生产计划「工作项」列表展示各行交付方式标签（散件为橙色、整机为蓝色）</w:t>
      </w:r>
    </w:p>
    <w:p>
      <w:pPr>
        <w:pStyle w:val="Heading2"/>
      </w:pPr>
      <w:r>
        <w:rPr>
          <w:rFonts w:ascii="PingFang SC" w:hAnsi="PingFang SC" w:eastAsia="PingFang SC"/>
        </w:rPr>
        <w:t>3.2 申请发货弹窗 — 散件发运区块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打开申请发货时，系统自动：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筛选 deliveryMode = 散件 的销售明细，初始化 scatterShipments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从 ebomSnapshot（或 line.materials）构建 materialPicks 拣选列表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计算并展示各行发货状态、发货进度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散件发运产品行展示字段（与整机基本一致，不含「本次发货数量」列）：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产品名称、编码、规格、订单数量、单价、交付方式、发货状态、发货进度等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可编辑：本次发货单价（不含税）、行备注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操作：「选择发运物料」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展开行（已选发运物料）：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展示已勾选且发运数量 &gt; 0 的 EBOM 物料明细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支持单行删除已选物料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展示发运备注</w:t>
      </w:r>
    </w:p>
    <w:p>
      <w:pPr>
        <w:pStyle w:val="Heading2"/>
      </w:pPr>
      <w:r>
        <w:rPr>
          <w:rFonts w:ascii="PingFang SC" w:hAnsi="PingFang SC" w:eastAsia="PingFang SC"/>
        </w:rPr>
        <w:t>3.3 选择发运物料抽屉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点击「选择发运物料」打开侧滑抽屉，主要能力：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展示 EBOM 展平物料树（子级物料缩进显示）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列：勾选、物料名称、编码、需求、可用库存、缺口、单位、本次发运数量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缺口 &gt; 0 时以红色高亮提示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勾选物料时，若发运数量为 0，自动填入需求数量（至少为 1）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取消勾选时，发运数量清零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可填写发运备注（选填）</w:t>
      </w:r>
    </w:p>
    <w:p>
      <w:pPr>
        <w:pStyle w:val="Heading2"/>
      </w:pPr>
      <w:r>
        <w:rPr>
          <w:rFonts w:ascii="PingFang SC" w:hAnsi="PingFang SC" w:eastAsia="PingFang SC"/>
        </w:rPr>
        <w:t>3.4 整机与散件混合发运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同一销售订单可同时包含整机行与散件行。申请发货弹窗分别展示「整机发货」与「散件发运」两个表格；提交时两类明细均须满足各自校验规则。若两类均无明细，则不可提交。</w:t>
      </w:r>
    </w:p>
    <w:p>
      <w:pPr>
        <w:pStyle w:val="Heading2"/>
      </w:pPr>
      <w:r>
        <w:rPr>
          <w:rFonts w:ascii="PingFang SC" w:hAnsi="PingFang SC" w:eastAsia="PingFang SC"/>
        </w:rPr>
        <w:t>3.5 发货进度与状态计算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指标</w:t>
            </w:r>
          </w:p>
        </w:tc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计算公式 / 规则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散件发货进度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本次已选发运数量合计 / EBOM 全部物料需求数量之和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散件行发货状态 — 未发货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无任何已勾选且发运数量 &gt; 0 的物料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散件行发货状态 — 部分发货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有已选物料，且发运合计 &lt; EBOM 需求合计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散件行发货状态 — 已发完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发运合计 ≥ EBOM 需求合计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整机发货进度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已发货数量 / 订单数量（整数展示）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物料拣选行字段</w:t>
            </w:r>
          </w:p>
        </w:tc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计算规则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需求数量 demandQty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来自 EBOM 快照展开结果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可用库存 availableStock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优先取 availableStock，否则取 stockQty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缺口 gapQty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max(0, 需求数量 − 可用库存)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发货总额 deliveryAmountExTax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本次发货单价（不含税）× 对应计价基数（散件行按产品行单价字段维护）</w:t>
            </w:r>
          </w:p>
        </w:tc>
      </w:tr>
    </w:tbl>
    <w:p/>
    <w:p>
      <w:pPr>
        <w:pStyle w:val="Heading1"/>
      </w:pPr>
      <w:r>
        <w:rPr>
          <w:rFonts w:ascii="PingFang SC" w:hAnsi="PingFang SC" w:eastAsia="PingFang SC"/>
        </w:rPr>
        <w:t>四、业务规则</w:t>
      </w:r>
    </w:p>
    <w:p>
      <w:pPr>
        <w:pStyle w:val="Heading2"/>
      </w:pPr>
      <w:r>
        <w:rPr>
          <w:rFonts w:ascii="PingFang SC" w:hAnsi="PingFang SC" w:eastAsia="PingFang SC"/>
        </w:rPr>
        <w:t>4.1 前置条件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须在销售订单列表勾选一条订单后，方可打开「申请发货」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散件发运行须对应 deliveryMode = 散件 的销售明细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自产订单须已审核，且明细行已生成 EBOM 快照，否则无法拣选物料</w:t>
      </w:r>
    </w:p>
    <w:p>
      <w:pPr>
        <w:pStyle w:val="Heading2"/>
      </w:pPr>
      <w:r>
        <w:rPr>
          <w:rFonts w:ascii="PingFang SC" w:hAnsi="PingFang SC" w:eastAsia="PingFang SC"/>
        </w:rPr>
        <w:t>4.2 申请发货 — 公共校验（整机 + 散件共用）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校验项</w:t>
            </w:r>
          </w:p>
        </w:tc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规则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发货编码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必填，可点击「生成编码」自动生成（格式 SH + 日期 + 流水）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客户名称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必填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发货方式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必填（如物流、自提等）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出库仓库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当「申请出库」开关开启时必填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可发运明细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整机区块与散件区块至少有一类存在明细，否则提示「本单无整机或散件可发运明细」</w:t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4.3 散件发运 — 提交校验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校验项</w:t>
            </w:r>
          </w:p>
        </w:tc>
        <w:tc>
          <w:tcPr>
            <w:tcW w:type="dxa" w:w="2882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规则</w:t>
            </w:r>
          </w:p>
        </w:tc>
        <w:tc>
          <w:tcPr>
            <w:tcW w:type="dxa" w:w="2882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提示信息</w:t>
            </w:r>
          </w:p>
        </w:tc>
      </w:tr>
      <w:tr>
        <w:tc>
          <w:tcPr>
            <w:tcW w:type="dxa" w:w="2882"/>
          </w:tcPr>
          <w:p>
            <w:r>
              <w:rPr>
                <w:rFonts w:ascii="PingFang SC" w:hAnsi="PingFang SC" w:eastAsia="PingFang SC"/>
                <w:sz w:val="20"/>
              </w:rPr>
              <w:t>每行须选物料</w:t>
            </w:r>
          </w:p>
        </w:tc>
        <w:tc>
          <w:tcPr>
            <w:tcW w:type="dxa" w:w="2882"/>
          </w:tcPr>
          <w:p>
            <w:r>
              <w:rPr>
                <w:rFonts w:ascii="PingFang SC" w:hAnsi="PingFang SC" w:eastAsia="PingFang SC"/>
                <w:sz w:val="20"/>
              </w:rPr>
              <w:t>每条 scatterShipment 至少有一条 materialPick：selected=true 且 shipQty&gt;0</w:t>
            </w:r>
          </w:p>
        </w:tc>
        <w:tc>
          <w:tcPr>
            <w:tcW w:type="dxa" w:w="2882"/>
          </w:tcPr>
          <w:p>
            <w:r>
              <w:rPr>
                <w:rFonts w:ascii="PingFang SC" w:hAnsi="PingFang SC" w:eastAsia="PingFang SC"/>
                <w:sz w:val="20"/>
              </w:rPr>
              <w:t>散件行「{产品名}」请选择发运物料</w:t>
            </w:r>
          </w:p>
        </w:tc>
      </w:tr>
    </w:tbl>
    <w:p/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说明：散件发运不要求单次发运必须覆盖全部 EBOM 需求；允许部分物料、部分数量发运，系统据此更新「部分发货」状态。</w:t>
      </w:r>
    </w:p>
    <w:p>
      <w:pPr>
        <w:pStyle w:val="Heading2"/>
      </w:pPr>
      <w:r>
        <w:rPr>
          <w:rFonts w:ascii="PingFang SC" w:hAnsi="PingFang SC" w:eastAsia="PingFang SC"/>
        </w:rPr>
        <w:t>4.4 选择发运物料抽屉 — 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校验项</w:t>
            </w:r>
          </w:p>
        </w:tc>
        <w:tc>
          <w:tcPr>
            <w:tcW w:type="dxa" w:w="2882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规则</w:t>
            </w:r>
          </w:p>
        </w:tc>
        <w:tc>
          <w:tcPr>
            <w:tcW w:type="dxa" w:w="2882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提示信息</w:t>
            </w:r>
          </w:p>
        </w:tc>
      </w:tr>
      <w:tr>
        <w:tc>
          <w:tcPr>
            <w:tcW w:type="dxa" w:w="2882"/>
          </w:tcPr>
          <w:p>
            <w:r>
              <w:rPr>
                <w:rFonts w:ascii="PingFang SC" w:hAnsi="PingFang SC" w:eastAsia="PingFang SC"/>
                <w:sz w:val="20"/>
              </w:rPr>
              <w:t>至少选一项</w:t>
            </w:r>
          </w:p>
        </w:tc>
        <w:tc>
          <w:tcPr>
            <w:tcW w:type="dxa" w:w="2882"/>
          </w:tcPr>
          <w:p>
            <w:r>
              <w:rPr>
                <w:rFonts w:ascii="PingFang SC" w:hAnsi="PingFang SC" w:eastAsia="PingFang SC"/>
                <w:sz w:val="20"/>
              </w:rPr>
              <w:t>须至少勾选一条 EBOM 物料且发运数量 &gt; 0</w:t>
            </w:r>
          </w:p>
        </w:tc>
        <w:tc>
          <w:tcPr>
            <w:tcW w:type="dxa" w:w="2882"/>
          </w:tcPr>
          <w:p>
            <w:r>
              <w:rPr>
                <w:rFonts w:ascii="PingFang SC" w:hAnsi="PingFang SC" w:eastAsia="PingFang SC"/>
                <w:sz w:val="20"/>
              </w:rPr>
              <w:t>请至少勾选一项 EBOM 物料，并填写本次发运数量</w:t>
            </w:r>
          </w:p>
        </w:tc>
      </w:tr>
      <w:tr>
        <w:tc>
          <w:tcPr>
            <w:tcW w:type="dxa" w:w="2882"/>
          </w:tcPr>
          <w:p>
            <w:r>
              <w:rPr>
                <w:rFonts w:ascii="PingFang SC" w:hAnsi="PingFang SC" w:eastAsia="PingFang SC"/>
                <w:sz w:val="20"/>
              </w:rPr>
              <w:t>勾选须填数量</w:t>
            </w:r>
          </w:p>
        </w:tc>
        <w:tc>
          <w:tcPr>
            <w:tcW w:type="dxa" w:w="2882"/>
          </w:tcPr>
          <w:p>
            <w:r>
              <w:rPr>
                <w:rFonts w:ascii="PingFang SC" w:hAnsi="PingFang SC" w:eastAsia="PingFang SC"/>
                <w:sz w:val="20"/>
              </w:rPr>
              <w:t>已勾选行的 shipQty 须 &gt; 0</w:t>
            </w:r>
          </w:p>
        </w:tc>
        <w:tc>
          <w:tcPr>
            <w:tcW w:type="dxa" w:w="2882"/>
          </w:tcPr>
          <w:p>
            <w:r>
              <w:rPr>
                <w:rFonts w:ascii="PingFang SC" w:hAnsi="PingFang SC" w:eastAsia="PingFang SC"/>
                <w:sz w:val="20"/>
              </w:rPr>
              <w:t>物料「{名称}」已勾选，请填写发运数量</w:t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4.5 整机发货校验（对比参考）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与散件同属申请发货弹窗，规则如下（散件行不适用「本次发货数量」列）：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校验项</w:t>
            </w:r>
          </w:p>
        </w:tc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规则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本次发货数量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必填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数量范围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须 &gt; 0，且 ≤ 可发数量（订单数量 − 已发数量）</w:t>
            </w:r>
          </w:p>
        </w:tc>
      </w:tr>
    </w:tbl>
    <w:p/>
    <w:p>
      <w:pPr>
        <w:pStyle w:val="Heading2"/>
      </w:pPr>
      <w:r>
        <w:rPr>
          <w:rFonts w:ascii="PingFang SC" w:hAnsi="PingFang SC" w:eastAsia="PingFang SC"/>
        </w:rPr>
        <w:t>4.6 物料拣选交互规则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勾选物料：若发运数量为 0，默认填入 max(需求数量, 1)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取消勾选：发运数量置 0，并从「已选发运物料」列表移除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在展开区删除已选物料：等效于取消勾选并重算发货状态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保存抽屉后：自动刷新行发货状态；有已选物料时自动展开该行</w:t>
      </w:r>
    </w:p>
    <w:p>
      <w:pPr>
        <w:pStyle w:val="Heading2"/>
      </w:pPr>
      <w:r>
        <w:rPr>
          <w:rFonts w:ascii="PingFang SC" w:hAnsi="PingFang SC" w:eastAsia="PingFang SC"/>
        </w:rPr>
        <w:t>4.7 与出库 / 质检链路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申请发货弹窗支持「申请出库」开关及出库仓库选择。当前前端实现中，确认提交后触发 confirmed 事件并提示「发货申请已提交」；后续与出库单、出厂质检的自动联动以服务端接口对接为准。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非销售出库类型或未走销售出库流程时，出库/质检规则不受散件拣选界面约束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散件发运的核心差异在于出库明细粒度为 EBOM 物料级，而非产品整件数量</w:t>
      </w:r>
    </w:p>
    <w:p>
      <w:pPr>
        <w:pStyle w:val="Heading1"/>
      </w:pPr>
      <w:r>
        <w:rPr>
          <w:rFonts w:ascii="PingFang SC" w:hAnsi="PingFang SC" w:eastAsia="PingFang SC"/>
        </w:rPr>
        <w:t>五、业务流程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散件发货典型流程：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1. 维护销售订单，明细行设置交付方式为「散件」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2. 审核销售订单（自产）：系统校验 BOM、生成 EBOM 快照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3. 销售订单 → 申请发货：填写发货信息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4. 在「散件发运」区块点击「选择发运物料」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5. 勾选 EBOM 物料、填写本次发运数量、可选填发运备注 → 确定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6. 确认各行已选物料无误，提交申请发货</w:t>
      </w:r>
    </w:p>
    <w:p>
      <w:pPr>
        <w:pStyle w:val="ListBullet"/>
        <w:spacing w:after="80"/>
        <w:ind w:left="425"/>
      </w:pPr>
      <w:r>
        <w:rPr>
          <w:rFonts w:ascii="PingFang SC" w:hAnsi="PingFang SC" w:eastAsia="PingFang SC"/>
          <w:sz w:val="22"/>
        </w:rPr>
        <w:t>7. （后续）生成出库单 / 执行出库 / 必要时出厂质检</w:t>
      </w:r>
    </w:p>
    <w:p>
      <w:pPr>
        <w:pStyle w:val="Heading1"/>
      </w:pPr>
      <w:r>
        <w:rPr>
          <w:rFonts w:ascii="PingFang SC" w:hAnsi="PingFang SC" w:eastAsia="PingFang SC"/>
        </w:rPr>
        <w:t>六、涉及模块与代码位置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模块/文件</w:t>
            </w:r>
          </w:p>
        </w:tc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职责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ApplyDeliveryModal.vue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申请发货弹窗，整机/散件分区、提交校验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ScatterShipDrawer.vue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选择发运物料抽屉，EBOM 拣选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utils/salesDeliveryMode.js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交付方式枚举与行级判定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utils/deliveryLine.js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发货行映射、整机/散件展示行构建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utils/shipEbom.js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EBOM 展平、拣选行、进度/状态计算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utils/ebomSnapshot.js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审核时 BOM → EBOM 快照展开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store/salesOrderStore.js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审核通过时生成 EBOM、生产计划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CreateSalesOrderModal.vue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销售明细行交付方式维护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ProductionPlanView.vue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工作项展示交付方式标签</w:t>
            </w:r>
          </w:p>
        </w:tc>
      </w:tr>
    </w:tbl>
    <w:p/>
    <w:p>
      <w:pPr>
        <w:pStyle w:val="Heading1"/>
      </w:pPr>
      <w:r>
        <w:rPr>
          <w:rFonts w:ascii="PingFang SC" w:hAnsi="PingFang SC" w:eastAsia="PingFang SC"/>
        </w:rPr>
        <w:t>七、附录：状态枚举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类型</w:t>
            </w:r>
          </w:p>
        </w:tc>
        <w:tc>
          <w:tcPr>
            <w:tcW w:type="dxa" w:w="4323"/>
            <w:shd w:fill="D9E8FB" w:val="clear"/>
          </w:tcPr>
          <w:p>
            <w:r>
              <w:rPr>
                <w:rFonts w:ascii="PingFang SC" w:hAnsi="PingFang SC" w:eastAsia="PingFang SC"/>
                <w:b/>
                <w:sz w:val="20"/>
              </w:rPr>
              <w:t>枚举值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交付方式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整机、散件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行发货状态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未发货、部分发货、已发完</w:t>
            </w:r>
          </w:p>
        </w:tc>
      </w:tr>
      <w:tr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EBOM 物料行结果（质检场景，非本功能必填）</w:t>
            </w:r>
          </w:p>
        </w:tc>
        <w:tc>
          <w:tcPr>
            <w:tcW w:type="dxa" w:w="4323"/>
          </w:tcPr>
          <w:p>
            <w:r>
              <w:rPr>
                <w:rFonts w:ascii="PingFang SC" w:hAnsi="PingFang SC" w:eastAsia="PingFang SC"/>
                <w:sz w:val="20"/>
              </w:rPr>
              <w:t>合格、不合格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