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36"/>
        </w:rPr>
        <w:t>00-通用启动与验收清单</w:t>
      </w:r>
    </w:p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00｜通用启动与验收清单</w:t>
      </w:r>
    </w:p>
    <w:p>
      <w:r>
        <w:rPr>
          <w:rFonts w:ascii="Microsoft YaHei" w:hAnsi="Microsoft YaHei" w:eastAsia="Microsoft YaHei"/>
          <w:b w:val="0"/>
          <w:sz w:val="22"/>
        </w:rPr>
        <w:t>适用于所有场景。分场景清单见 S1～S5。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启动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☐ 四维诊断已做（组织 / 职能需求 / 数据 / 信息化认知）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☐ 场景编码已书面确认（一～五），范围外模块已砍掉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☐ 项目对接人、兼职岗位表已列出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☐ 《计薪口径确认表》已签（凡含工资的场景）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☐ 试点车间/班组/产品范围已定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☐ 账号与角色映射已定（一人多岗已合并）</w:t>
      </w:r>
    </w:p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配置（通用）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☐ 组织、人员、角色已建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☐ 功能参数：工资推送模式已设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☐ 小程序入口与人员已开通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☐ （场景二及以上，对内）库存相关参数与仓管权限已配，</w:t>
      </w:r>
      <w:r>
        <w:rPr>
          <w:rFonts w:ascii="Microsoft YaHei" w:hAnsi="Microsoft YaHei" w:eastAsia="Microsoft YaHei"/>
          <w:b/>
          <w:sz w:val="22"/>
        </w:rPr>
        <w:t>对外材料未写「扣减卖点」</w:t>
      </w:r>
    </w:p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验收（通用）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☐ 试点范围内关键用户能独立完成主路径操作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☐ 与原有Excel/台账完成一次对账说明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☐ 明确「本期不做」清单双方签字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☐ 扩场景建议已口头/书面告知客户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