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199FC">
      <w:pPr>
        <w:jc w:val="center"/>
      </w:pPr>
      <w:r>
        <w:rPr>
          <w:rFonts w:ascii="微软雅黑" w:hAnsi="微软雅黑" w:eastAsia="微软雅黑"/>
          <w:b/>
          <w:sz w:val="36"/>
        </w:rPr>
        <w:t>S2-快速报工+工资+领料入库</w:t>
      </w:r>
    </w:p>
    <w:p w14:paraId="13287E9A">
      <w:pPr>
        <w:pStyle w:val="3"/>
      </w:pPr>
      <w:r>
        <w:rPr>
          <w:rFonts w:ascii="微软雅黑" w:hAnsi="微软雅黑" w:eastAsia="微软雅黑"/>
          <w:b/>
          <w:sz w:val="32"/>
        </w:rPr>
        <w:t>S2｜快速报工 + 工资 + 领料 + 成品入库｜实施检查清单</w:t>
      </w:r>
    </w:p>
    <w:p w14:paraId="4428C5EF">
      <w:r>
        <w:rPr>
          <w:rFonts w:ascii="微软雅黑" w:hAnsi="微软雅黑" w:eastAsia="微软雅黑"/>
          <w:b w:val="0"/>
          <w:sz w:val="22"/>
        </w:rPr>
        <w:t>含 S1 全部项，并增加：</w:t>
      </w:r>
    </w:p>
    <w:p w14:paraId="2A5DE2B4">
      <w:pPr>
        <w:pStyle w:val="4"/>
      </w:pPr>
      <w:r>
        <w:rPr>
          <w:rFonts w:ascii="微软雅黑" w:hAnsi="微软雅黑" w:eastAsia="微软雅黑"/>
          <w:b/>
          <w:sz w:val="28"/>
        </w:rPr>
        <w:t>调研齐套</w:t>
      </w:r>
    </w:p>
    <w:p w14:paraId="44B1ED52">
      <w:pPr>
        <w:pStyle w:val="16"/>
      </w:pPr>
      <w:r>
        <w:rPr>
          <w:rFonts w:ascii="微软雅黑" w:hAnsi="微软雅黑" w:eastAsia="微软雅黑"/>
          <w:b w:val="0"/>
          <w:sz w:val="22"/>
        </w:rPr>
        <w:t>☐ 领料发起人/发料人/是否审核</w:t>
      </w:r>
    </w:p>
    <w:p w14:paraId="3CE70EE7">
      <w:pPr>
        <w:pStyle w:val="16"/>
      </w:pPr>
      <w:r>
        <w:rPr>
          <w:rFonts w:ascii="微软雅黑" w:hAnsi="微软雅黑" w:eastAsia="微软雅黑"/>
          <w:b w:val="0"/>
          <w:sz w:val="22"/>
        </w:rPr>
        <w:t>☐ 成品入库人与数量口径</w:t>
      </w:r>
    </w:p>
    <w:p w14:paraId="3C817A7A">
      <w:pPr>
        <w:pStyle w:val="16"/>
      </w:pPr>
      <w:r>
        <w:rPr>
          <w:rFonts w:ascii="微软雅黑" w:hAnsi="微软雅黑" w:eastAsia="微软雅黑"/>
          <w:b w:val="0"/>
          <w:sz w:val="22"/>
        </w:rPr>
        <w:t>☐ 仓库列表与期初盘点责任人</w:t>
      </w:r>
    </w:p>
    <w:p w14:paraId="5EB331AF">
      <w:pPr>
        <w:pStyle w:val="16"/>
      </w:pPr>
      <w:r>
        <w:rPr>
          <w:rFonts w:ascii="微软雅黑" w:hAnsi="微软雅黑" w:eastAsia="微软雅黑"/>
          <w:b w:val="0"/>
          <w:sz w:val="22"/>
        </w:rPr>
        <w:t>☐ 账实差异处理原则</w:t>
      </w:r>
    </w:p>
    <w:p w14:paraId="5D0DC42B">
      <w:pPr>
        <w:pStyle w:val="4"/>
      </w:pPr>
      <w:r>
        <w:rPr>
          <w:rFonts w:ascii="微软雅黑" w:hAnsi="微软雅黑" w:eastAsia="微软雅黑"/>
          <w:b/>
          <w:sz w:val="28"/>
        </w:rPr>
        <w:t>系统配置</w:t>
      </w:r>
    </w:p>
    <w:p w14:paraId="54333991">
      <w:pPr>
        <w:pStyle w:val="16"/>
      </w:pPr>
      <w:r>
        <w:rPr>
          <w:rFonts w:ascii="微软雅黑" w:hAnsi="微软雅黑" w:eastAsia="微软雅黑"/>
          <w:b w:val="0"/>
          <w:sz w:val="22"/>
        </w:rPr>
        <w:t>☐ 仓库档案、物料、期初</w:t>
      </w:r>
    </w:p>
    <w:p w14:paraId="0DA144F4">
      <w:pPr>
        <w:pStyle w:val="16"/>
      </w:pPr>
      <w:r>
        <w:rPr>
          <w:rFonts w:ascii="微软雅黑" w:hAnsi="微软雅黑" w:eastAsia="微软雅黑"/>
          <w:b w:val="0"/>
          <w:sz w:val="22"/>
        </w:rPr>
        <w:t>☐ 领料管理 + 小程序领料；出库联动</w:t>
      </w:r>
    </w:p>
    <w:p w14:paraId="7915BA73">
      <w:pPr>
        <w:pStyle w:val="16"/>
      </w:pPr>
      <w:r>
        <w:rPr>
          <w:rFonts w:ascii="微软雅黑" w:hAnsi="微软雅黑" w:eastAsia="微软雅黑"/>
          <w:b w:val="0"/>
          <w:sz w:val="22"/>
        </w:rPr>
        <w:t>☐ 成品入库 + 入库管理</w:t>
      </w:r>
    </w:p>
    <w:p w14:paraId="6FC27C31">
      <w:pPr>
        <w:pStyle w:val="16"/>
      </w:pPr>
      <w:r>
        <w:rPr>
          <w:rFonts w:ascii="微软雅黑" w:hAnsi="微软雅黑" w:eastAsia="微软雅黑"/>
          <w:b w:val="0"/>
          <w:sz w:val="22"/>
        </w:rPr>
        <w:t>☐ 仓管角色菜单</w:t>
      </w:r>
    </w:p>
    <w:p w14:paraId="4B812986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hint="eastAsia"/>
          <w:b w:val="0"/>
          <w:sz w:val="22"/>
          <w:lang w:val="en-US" w:eastAsia="zh-CN"/>
        </w:rPr>
        <w:t>库存</w:t>
      </w:r>
      <w:r>
        <w:rPr>
          <w:rFonts w:ascii="微软雅黑" w:hAnsi="微软雅黑" w:eastAsia="微软雅黑"/>
          <w:b w:val="0"/>
          <w:sz w:val="22"/>
        </w:rPr>
        <w:t>扣减配置</w:t>
      </w:r>
      <w:bookmarkStart w:id="0" w:name="_GoBack"/>
      <w:bookmarkEnd w:id="0"/>
    </w:p>
    <w:p w14:paraId="6B7EE10E">
      <w:pPr>
        <w:pStyle w:val="4"/>
      </w:pPr>
      <w:r>
        <w:rPr>
          <w:rFonts w:ascii="微软雅黑" w:hAnsi="微软雅黑" w:eastAsia="微软雅黑"/>
          <w:b/>
          <w:sz w:val="28"/>
        </w:rPr>
        <w:t>试运行与验收</w:t>
      </w:r>
    </w:p>
    <w:p w14:paraId="33118AC6">
      <w:pPr>
        <w:pStyle w:val="16"/>
      </w:pPr>
      <w:r>
        <w:rPr>
          <w:rFonts w:ascii="微软雅黑" w:hAnsi="微软雅黑" w:eastAsia="微软雅黑"/>
          <w:b w:val="0"/>
          <w:sz w:val="22"/>
        </w:rPr>
        <w:t>☐ 同一试点：领料 → 报工 → 成品入库 能对上</w:t>
      </w:r>
    </w:p>
    <w:p w14:paraId="13AB0DB9">
      <w:pPr>
        <w:pStyle w:val="16"/>
      </w:pPr>
      <w:r>
        <w:rPr>
          <w:rFonts w:ascii="微软雅黑" w:hAnsi="微软雅黑" w:eastAsia="微软雅黑"/>
          <w:b w:val="0"/>
          <w:sz w:val="22"/>
        </w:rPr>
        <w:t>☐ 工资链路未被库存流程破坏</w:t>
      </w:r>
    </w:p>
    <w:p w14:paraId="67153789">
      <w:pPr>
        <w:pStyle w:val="16"/>
      </w:pPr>
      <w:r>
        <w:rPr>
          <w:rFonts w:ascii="微软雅黑" w:hAnsi="微软雅黑" w:eastAsia="微软雅黑"/>
          <w:b w:val="0"/>
          <w:sz w:val="22"/>
        </w:rPr>
        <w:t>☐ 仓管与主任认可出入库留痕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CF0AE2"/>
    <w:rsid w:val="FEFB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cat</cp:lastModifiedBy>
  <dcterms:modified xsi:type="dcterms:W3CDTF">2026-07-22T18:29:46Z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E3EBF0427AB217A51D8F606AF21F03C7_42</vt:lpwstr>
  </property>
</Properties>
</file>