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DC5C5">
      <w:pPr>
        <w:jc w:val="center"/>
      </w:pPr>
      <w:r>
        <w:rPr>
          <w:rFonts w:ascii="微软雅黑" w:hAnsi="微软雅黑" w:eastAsia="微软雅黑"/>
          <w:b/>
          <w:sz w:val="36"/>
        </w:rPr>
        <w:t>S4-订单到采购全链路</w:t>
      </w:r>
    </w:p>
    <w:p w14:paraId="702E5CC5">
      <w:pPr>
        <w:pStyle w:val="3"/>
      </w:pPr>
      <w:r>
        <w:rPr>
          <w:rFonts w:ascii="微软雅黑" w:hAnsi="微软雅黑" w:eastAsia="微软雅黑"/>
          <w:b/>
          <w:sz w:val="32"/>
        </w:rPr>
        <w:t>S4｜订单到采购全链路｜实施检查清单</w:t>
      </w:r>
    </w:p>
    <w:p w14:paraId="6144BE08">
      <w:r>
        <w:rPr>
          <w:rFonts w:ascii="微软雅黑" w:hAnsi="微软雅黑" w:eastAsia="微软雅黑"/>
          <w:b w:val="0"/>
          <w:sz w:val="22"/>
        </w:rPr>
        <w:t>车间底座建议已具备 S3 能力（或并行最小试点）。</w:t>
      </w:r>
    </w:p>
    <w:p w14:paraId="566EF2B2">
      <w:pPr>
        <w:pStyle w:val="4"/>
      </w:pPr>
      <w:r>
        <w:rPr>
          <w:rFonts w:ascii="微软雅黑" w:hAnsi="微软雅黑" w:eastAsia="微软雅黑"/>
          <w:b/>
          <w:sz w:val="28"/>
        </w:rPr>
        <w:t>调研齐套</w:t>
      </w:r>
    </w:p>
    <w:p w14:paraId="51FBC2E6">
      <w:pPr>
        <w:pStyle w:val="16"/>
      </w:pPr>
      <w:r>
        <w:rPr>
          <w:rFonts w:ascii="微软雅黑" w:hAnsi="微软雅黑" w:eastAsia="微软雅黑"/>
          <w:b w:val="0"/>
          <w:sz w:val="22"/>
        </w:rPr>
        <w:t>☐ 订单评审流、非标是否走设计</w:t>
      </w:r>
    </w:p>
    <w:p w14:paraId="74564D39">
      <w:pPr>
        <w:pStyle w:val="16"/>
      </w:pPr>
      <w:r>
        <w:rPr>
          <w:rFonts w:ascii="微软雅黑" w:hAnsi="微软雅黑" w:eastAsia="微软雅黑"/>
          <w:b w:val="0"/>
          <w:sz w:val="22"/>
        </w:rPr>
        <w:t>☐ 计划职责、插单规则</w:t>
      </w:r>
    </w:p>
    <w:p w14:paraId="2F66580F">
      <w:pPr>
        <w:pStyle w:val="16"/>
      </w:pPr>
      <w:r>
        <w:rPr>
          <w:rFonts w:ascii="微软雅黑" w:hAnsi="微软雅黑" w:eastAsia="微软雅黑"/>
          <w:b w:val="0"/>
          <w:sz w:val="22"/>
        </w:rPr>
        <w:t>☐ 自制/外购/外协拆分规则</w:t>
      </w:r>
    </w:p>
    <w:p w14:paraId="64DB760E">
      <w:pPr>
        <w:pStyle w:val="16"/>
      </w:pPr>
      <w:r>
        <w:rPr>
          <w:rFonts w:ascii="微软雅黑" w:hAnsi="微软雅黑" w:eastAsia="微软雅黑"/>
          <w:b w:val="0"/>
          <w:sz w:val="22"/>
        </w:rPr>
        <w:t>☐ 客户、供应商、BOM 主数据差距清单</w:t>
      </w:r>
    </w:p>
    <w:p w14:paraId="1AF739D5">
      <w:pPr>
        <w:pStyle w:val="16"/>
      </w:pPr>
      <w:r>
        <w:rPr>
          <w:rFonts w:ascii="微软雅黑" w:hAnsi="微软雅黑" w:eastAsia="微软雅黑"/>
          <w:b w:val="0"/>
          <w:sz w:val="22"/>
        </w:rPr>
        <w:t>☐ 发货是否纳入本期</w:t>
      </w:r>
    </w:p>
    <w:p w14:paraId="059925C5">
      <w:pPr>
        <w:pStyle w:val="4"/>
      </w:pPr>
      <w:r>
        <w:rPr>
          <w:rFonts w:ascii="微软雅黑" w:hAnsi="微软雅黑" w:eastAsia="微软雅黑"/>
          <w:b/>
          <w:sz w:val="28"/>
        </w:rPr>
        <w:t>系统配置</w:t>
      </w:r>
    </w:p>
    <w:p w14:paraId="18CFE492">
      <w:pPr>
        <w:pStyle w:val="16"/>
      </w:pPr>
      <w:r>
        <w:rPr>
          <w:rFonts w:ascii="微软雅黑" w:hAnsi="微软雅黑" w:eastAsia="微软雅黑"/>
          <w:b w:val="0"/>
          <w:sz w:val="22"/>
        </w:rPr>
        <w:t>☐ 客户、供应商、产品/物料、BOM/设计任务</w:t>
      </w:r>
    </w:p>
    <w:p w14:paraId="17B6DE03">
      <w:pPr>
        <w:pStyle w:val="16"/>
      </w:pPr>
      <w:r>
        <w:rPr>
          <w:rFonts w:ascii="微软雅黑" w:hAnsi="微软雅黑" w:eastAsia="微软雅黑"/>
          <w:b w:val="0"/>
          <w:sz w:val="22"/>
        </w:rPr>
        <w:t>☐ 销售订单 → 生产计划 → 工单链路样例</w:t>
      </w:r>
    </w:p>
    <w:p w14:paraId="365985B4">
      <w:pPr>
        <w:pStyle w:val="16"/>
      </w:pPr>
      <w:r>
        <w:rPr>
          <w:rFonts w:ascii="微软雅黑" w:hAnsi="微软雅黑" w:eastAsia="微软雅黑"/>
          <w:b w:val="0"/>
          <w:sz w:val="22"/>
        </w:rPr>
        <w:t>☐ 计划 → 采购申请 → 采购订单 → 入库样例</w:t>
      </w:r>
    </w:p>
    <w:p w14:paraId="652F7F6B">
      <w:pPr>
        <w:pStyle w:val="16"/>
      </w:pPr>
      <w:r>
        <w:rPr>
          <w:rFonts w:ascii="微软雅黑" w:hAnsi="微软雅黑" w:eastAsia="微软雅黑"/>
          <w:b w:val="0"/>
          <w:sz w:val="22"/>
        </w:rPr>
        <w:t>☐ 库存管理菜单对计划/仓管/采购角色开通</w:t>
      </w:r>
    </w:p>
    <w:p w14:paraId="6C2C5C98">
      <w:pPr>
        <w:pStyle w:val="16"/>
      </w:pPr>
      <w:r>
        <w:rPr>
          <w:rFonts w:ascii="微软雅黑" w:hAnsi="微软雅黑" w:eastAsia="微软雅黑"/>
          <w:b w:val="0"/>
          <w:sz w:val="22"/>
        </w:rPr>
        <w:t>☐ 任务报工 + 工资 + 领料入库沿用 S3</w:t>
      </w:r>
    </w:p>
    <w:p w14:paraId="626BFE02">
      <w:pPr>
        <w:pStyle w:val="16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hint="eastAsia"/>
          <w:b w:val="0"/>
          <w:sz w:val="22"/>
          <w:lang w:val="en-US" w:eastAsia="zh-CN"/>
        </w:rPr>
        <w:t>库存</w:t>
      </w:r>
      <w:r>
        <w:rPr>
          <w:rFonts w:ascii="微软雅黑" w:hAnsi="微软雅黑" w:eastAsia="微软雅黑"/>
          <w:b w:val="0"/>
          <w:sz w:val="22"/>
        </w:rPr>
        <w:t>扣减配置</w:t>
      </w:r>
    </w:p>
    <w:p w14:paraId="194700A4">
      <w:pPr>
        <w:pStyle w:val="16"/>
      </w:pPr>
      <w:r>
        <w:rPr>
          <w:rFonts w:ascii="微软雅黑" w:hAnsi="微软雅黑" w:eastAsia="微软雅黑"/>
          <w:b w:val="0"/>
          <w:sz w:val="22"/>
        </w:rPr>
        <w:t>☐ 自动生成/自动审核类参数</w:t>
      </w:r>
    </w:p>
    <w:p w14:paraId="710EBB06">
      <w:pPr>
        <w:pStyle w:val="4"/>
      </w:pPr>
      <w:r>
        <w:rPr>
          <w:rFonts w:ascii="微软雅黑" w:hAnsi="微软雅黑" w:eastAsia="微软雅黑"/>
          <w:b/>
          <w:sz w:val="28"/>
        </w:rPr>
        <w:t>试运行与验收</w:t>
      </w:r>
    </w:p>
    <w:p w14:paraId="22F47892">
      <w:pPr>
        <w:pStyle w:val="16"/>
      </w:pPr>
      <w:r>
        <w:rPr>
          <w:rFonts w:ascii="微软雅黑" w:hAnsi="微软雅黑" w:eastAsia="微软雅黑"/>
          <w:b w:val="0"/>
          <w:sz w:val="22"/>
        </w:rPr>
        <w:t>☐ 一张标准销售订单可追溯到计划、工单、采购、库存、报工工资</w:t>
      </w:r>
    </w:p>
    <w:p w14:paraId="1D627A02">
      <w:pPr>
        <w:pStyle w:val="16"/>
      </w:pPr>
      <w:r>
        <w:rPr>
          <w:rFonts w:ascii="微软雅黑" w:hAnsi="微软雅黑" w:eastAsia="微软雅黑"/>
          <w:b w:val="0"/>
          <w:sz w:val="22"/>
        </w:rPr>
        <w:t>☐ 插单/改 BOM 例外流程已书面化</w:t>
      </w:r>
      <w:bookmarkStart w:id="0" w:name="_GoBack"/>
      <w:bookmarkEnd w:id="0"/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CD4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cat</cp:lastModifiedBy>
  <dcterms:modified xsi:type="dcterms:W3CDTF">2026-07-22T18:05:07Z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37B35D86F1BAC802D395606A0A8E35CE_42</vt:lpwstr>
  </property>
</Properties>
</file>