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17063"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双物料单位建模决策说明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E635FAF">
        <w:trPr>
          <w:jc w:val="center"/>
        </w:trPr>
        <w:tc>
          <w:tcPr>
            <w:tcW w:w="9746" w:type="dxa"/>
          </w:tcPr>
          <w:p w14:paraId="548895B4"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结论（采用）</w:t>
            </w:r>
          </w:p>
          <w:p w14:paraId="410EABAA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型材/板材类双单位（采购单位 ≠ 库存单位）采用「单物料 + 双计量」；</w:t>
            </w:r>
          </w:p>
          <w:p w14:paraId="0006F117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不以拆 SKU 承载连续长度/面积。</w:t>
            </w:r>
          </w:p>
          <w:p w14:paraId="4B7048A2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库存、BOM、下料只认一个库存料号；采购单位做换算与录入，不平行建存货 SKU。</w:t>
            </w:r>
          </w:p>
        </w:tc>
      </w:tr>
    </w:tbl>
    <w:p w14:paraId="4254864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F49173A">
        <w:trPr>
          <w:jc w:val="center"/>
        </w:trPr>
        <w:tc>
          <w:tcPr>
            <w:tcW w:w="4873" w:type="dxa"/>
          </w:tcPr>
          <w:p w14:paraId="486ADE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w="4873" w:type="dxa"/>
          </w:tcPr>
          <w:p w14:paraId="53F78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3399A6FC">
        <w:trPr>
          <w:jc w:val="center"/>
        </w:trPr>
        <w:tc>
          <w:tcPr>
            <w:tcW w:w="4873" w:type="dxa"/>
          </w:tcPr>
          <w:p w14:paraId="2869AC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适用范围</w:t>
            </w:r>
          </w:p>
        </w:tc>
        <w:tc>
          <w:tcPr>
            <w:tcW w:w="4873" w:type="dxa"/>
          </w:tcPr>
          <w:p w14:paraId="41DDD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下料、领料/发料出库、余料回库、库存台账、计划齐套占用</w:t>
            </w:r>
          </w:p>
        </w:tc>
      </w:tr>
      <w:tr w14:paraId="4E4D894C">
        <w:trPr>
          <w:jc w:val="center"/>
        </w:trPr>
        <w:tc>
          <w:tcPr>
            <w:tcW w:w="4873" w:type="dxa"/>
          </w:tcPr>
          <w:p w14:paraId="316E4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适用物料</w:t>
            </w:r>
          </w:p>
        </w:tc>
        <w:tc>
          <w:tcPr>
            <w:tcW w:w="4873" w:type="dxa"/>
          </w:tcPr>
          <w:p w14:paraId="70D87D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钢管、棒料、板材等：采购按根/件/盒，库存按米/㎡（或重量）</w:t>
            </w:r>
          </w:p>
        </w:tc>
      </w:tr>
      <w:tr w14:paraId="33EEFA16">
        <w:trPr>
          <w:jc w:val="center"/>
        </w:trPr>
        <w:tc>
          <w:tcPr>
            <w:tcW w:w="4873" w:type="dxa"/>
          </w:tcPr>
          <w:p w14:paraId="0162D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不适用</w:t>
            </w:r>
          </w:p>
        </w:tc>
        <w:tc>
          <w:tcPr>
            <w:tcW w:w="4873" w:type="dxa"/>
          </w:tcPr>
          <w:p w14:paraId="2E2625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规格/材质等可枚举差异（那是 SPU→SKU 变体，与双单位正交）</w:t>
            </w:r>
          </w:p>
        </w:tc>
      </w:tr>
    </w:tbl>
    <w:p w14:paraId="1073F9F8"/>
    <w:p w14:paraId="1841F069">
      <w:pPr>
        <w:pStyle w:val="4"/>
      </w:pPr>
      <w:r>
        <w:rPr>
          <w:rFonts w:ascii="微软雅黑" w:hAnsi="微软雅黑" w:eastAsia="微软雅黑"/>
          <w:b/>
          <w:color w:val="2E75B6"/>
          <w:sz w:val="28"/>
        </w:rPr>
        <w:t>1. 两种方案定义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4323"/>
        <w:gridCol w:w="4049"/>
      </w:tblGrid>
      <w:tr w14:paraId="1408E542">
        <w:trPr>
          <w:jc w:val="center"/>
        </w:trPr>
        <w:tc>
          <w:tcPr>
            <w:tcW w:w="1375" w:type="dxa"/>
          </w:tcPr>
          <w:p w14:paraId="14B4F948">
            <w:pPr>
              <w:spacing w:after="0" w:line="240" w:lineRule="auto"/>
            </w:pPr>
          </w:p>
        </w:tc>
        <w:tc>
          <w:tcPr>
            <w:tcW w:w="4323" w:type="dxa"/>
          </w:tcPr>
          <w:p w14:paraId="6C8166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方案 A：单物料双计量（采用）</w:t>
            </w:r>
          </w:p>
        </w:tc>
        <w:tc>
          <w:tcPr>
            <w:tcW w:w="4049" w:type="dxa"/>
          </w:tcPr>
          <w:p w14:paraId="708B57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方案 B：SKU 拆解（不采用）</w:t>
            </w:r>
          </w:p>
        </w:tc>
      </w:tr>
      <w:tr w14:paraId="44ACA260">
        <w:trPr>
          <w:jc w:val="center"/>
        </w:trPr>
        <w:tc>
          <w:tcPr>
            <w:tcW w:w="1375" w:type="dxa"/>
          </w:tcPr>
          <w:p w14:paraId="467AB7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主数据</w:t>
            </w:r>
          </w:p>
        </w:tc>
        <w:tc>
          <w:tcPr>
            <w:tcW w:w="4323" w:type="dxa"/>
          </w:tcPr>
          <w:p w14:paraId="728289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一个料号；采购单位 + 库存单位；批次带单件长度/面积</w:t>
            </w:r>
          </w:p>
        </w:tc>
        <w:tc>
          <w:tcPr>
            <w:tcW w:w="4049" w:type="dxa"/>
          </w:tcPr>
          <w:p w14:paraId="3B6FB2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拆成多个料号，如「按根 SKU」与「按米 SKU」，或「6米管 / 5米管 / 余料」各一码</w:t>
            </w:r>
          </w:p>
        </w:tc>
      </w:tr>
      <w:tr w14:paraId="533FA2EB">
        <w:trPr>
          <w:jc w:val="center"/>
        </w:trPr>
        <w:tc>
          <w:tcPr>
            <w:tcW w:w="1375" w:type="dxa"/>
          </w:tcPr>
          <w:p w14:paraId="7027F9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库存账</w:t>
            </w:r>
          </w:p>
        </w:tc>
        <w:tc>
          <w:tcPr>
            <w:tcW w:w="4323" w:type="dxa"/>
          </w:tcPr>
          <w:p w14:paraId="493629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只认库存单位（米/㎡）；「根数」为辅助属性</w:t>
            </w:r>
          </w:p>
        </w:tc>
        <w:tc>
          <w:tcPr>
            <w:tcW w:w="4049" w:type="dxa"/>
          </w:tcPr>
          <w:p w14:paraId="60579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 SKU 各自余额；靠转换/虚拟出入库对齐</w:t>
            </w:r>
          </w:p>
        </w:tc>
      </w:tr>
      <w:tr w14:paraId="30EC91F8">
        <w:trPr>
          <w:jc w:val="center"/>
        </w:trPr>
        <w:tc>
          <w:tcPr>
            <w:tcW w:w="1375" w:type="dxa"/>
          </w:tcPr>
          <w:p w14:paraId="13BD68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下料</w:t>
            </w:r>
          </w:p>
        </w:tc>
        <w:tc>
          <w:tcPr>
            <w:tcW w:w="4323" w:type="dxa"/>
          </w:tcPr>
          <w:p w14:paraId="7213A2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同料号：整出 → 实耗 → 余料回库</w:t>
            </w:r>
          </w:p>
        </w:tc>
        <w:tc>
          <w:tcPr>
            <w:tcW w:w="4049" w:type="dxa"/>
          </w:tcPr>
          <w:p w14:paraId="1FD11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 SKU：A 出 → B/C 入，或按长度换码</w:t>
            </w:r>
          </w:p>
        </w:tc>
      </w:tr>
    </w:tbl>
    <w:p w14:paraId="1E36EF49"/>
    <w:p w14:paraId="02C103D0">
      <w:pPr>
        <w:pStyle w:val="4"/>
      </w:pPr>
      <w:r>
        <w:rPr>
          <w:rFonts w:ascii="微软雅黑" w:hAnsi="微软雅黑" w:eastAsia="微软雅黑"/>
          <w:b/>
          <w:color w:val="2E75B6"/>
          <w:sz w:val="28"/>
        </w:rPr>
        <w:t>2. 决策要点（为何不用 SKU 扛双单位）</w:t>
      </w:r>
    </w:p>
    <w:p w14:paraId="7B00B10F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连续量 ≠ 可枚举规格：米/㎡/任意余料长度不能靠主数据枚举；强行拆 SKU → 编码爆炸或精度丢失。</w:t>
      </w:r>
    </w:p>
    <w:p w14:paraId="3C599F24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实物同一性：一根管锯短后仍是同一物料；拆 SKU 把「数量变化」误做成「物料变化」。</w:t>
      </w:r>
    </w:p>
    <w:p w14:paraId="6A13E580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账链路：跨 SKU 转换漏一笔即账实不符；同料号数量增减可闭环追溯。</w:t>
      </w:r>
    </w:p>
    <w:p w14:paraId="5C7DD8E1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计划/采购/库存三口径：一料号易统一；双 SKU 易双算或漏算缺口。</w:t>
      </w:r>
    </w:p>
    <w:p w14:paraId="3B7150B2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与变体正交：叶轮「规格×材质」用 SPU/SKU；钢管「根↔米」用 UOM，二者不要混用。</w:t>
      </w:r>
    </w:p>
    <w:p w14:paraId="6623A99A">
      <w:pPr>
        <w:pStyle w:val="4"/>
      </w:pPr>
      <w:r>
        <w:rPr>
          <w:rFonts w:ascii="微软雅黑" w:hAnsi="微软雅黑" w:eastAsia="微软雅黑"/>
          <w:b/>
          <w:color w:val="2E75B6"/>
          <w:sz w:val="28"/>
        </w:rPr>
        <w:t>3. 反例：6 米整根领出，锯成耗用 5 米 + 余料 1 米</w:t>
      </w:r>
    </w:p>
    <w:p w14:paraId="6AF039E9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前提：物料 WL-PIPE-Q235-50，采购单位=根，库存单位=米；原料仓有一批次，单件 6 米 × 1 根。</w:t>
      </w:r>
    </w:p>
    <w:p w14:paraId="10E593BE">
      <w:pPr>
        <w:pStyle w:val="5"/>
      </w:pPr>
      <w:r>
        <w:rPr>
          <w:rFonts w:ascii="微软雅黑" w:hAnsi="微软雅黑" w:eastAsia="微软雅黑"/>
          <w:b/>
          <w:color w:val="2E75B6"/>
          <w:sz w:val="24"/>
        </w:rPr>
        <w:t>3.1 方案 A（采用）— 记账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3892"/>
        <w:gridCol w:w="4804"/>
      </w:tblGrid>
      <w:tr w14:paraId="6E35FBE8">
        <w:trPr>
          <w:jc w:val="center"/>
        </w:trPr>
        <w:tc>
          <w:tcPr>
            <w:tcW w:w="1051" w:type="dxa"/>
          </w:tcPr>
          <w:p w14:paraId="3C2DF3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w="3892" w:type="dxa"/>
          </w:tcPr>
          <w:p w14:paraId="1CB1B6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w="4804" w:type="dxa"/>
          </w:tcPr>
          <w:p w14:paraId="2BE59E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库存变化（同一料号）</w:t>
            </w:r>
          </w:p>
        </w:tc>
      </w:tr>
      <w:tr w14:paraId="2DD9CF73">
        <w:trPr>
          <w:jc w:val="center"/>
        </w:trPr>
        <w:tc>
          <w:tcPr>
            <w:tcW w:w="1051" w:type="dxa"/>
          </w:tcPr>
          <w:p w14:paraId="47073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892" w:type="dxa"/>
          </w:tcPr>
          <w:p w14:paraId="2A649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领料出库（整出）原料仓 → 线边仓</w:t>
            </w:r>
          </w:p>
        </w:tc>
        <w:tc>
          <w:tcPr>
            <w:tcW w:w="4804" w:type="dxa"/>
          </w:tcPr>
          <w:p w14:paraId="69EBA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原料仓 −6 米；线边仓 +6 米（仍 1 根属性）</w:t>
            </w:r>
          </w:p>
        </w:tc>
      </w:tr>
      <w:tr w14:paraId="25A81740">
        <w:trPr>
          <w:jc w:val="center"/>
        </w:trPr>
        <w:tc>
          <w:tcPr>
            <w:tcW w:w="1051" w:type="dxa"/>
          </w:tcPr>
          <w:p w14:paraId="08DAF7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892" w:type="dxa"/>
          </w:tcPr>
          <w:p w14:paraId="0DC15E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下料结算确认：实耗 5 米</w:t>
            </w:r>
          </w:p>
        </w:tc>
        <w:tc>
          <w:tcPr>
            <w:tcW w:w="4804" w:type="dxa"/>
          </w:tcPr>
          <w:p w14:paraId="70F2F2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线边仓 −5 米（耗用）</w:t>
            </w:r>
          </w:p>
        </w:tc>
      </w:tr>
      <w:tr w14:paraId="2A5C8685">
        <w:trPr>
          <w:jc w:val="center"/>
        </w:trPr>
        <w:tc>
          <w:tcPr>
            <w:tcW w:w="1051" w:type="dxa"/>
          </w:tcPr>
          <w:p w14:paraId="136B5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892" w:type="dxa"/>
          </w:tcPr>
          <w:p w14:paraId="7C5CD9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余料 1 米回原料仓（或指定回仓）</w:t>
            </w:r>
          </w:p>
        </w:tc>
        <w:tc>
          <w:tcPr>
            <w:tcW w:w="4804" w:type="dxa"/>
          </w:tcPr>
          <w:p w14:paraId="05385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线边仓 −1 米；原料仓 +1 米（余料批次，长度=1）</w:t>
            </w:r>
          </w:p>
        </w:tc>
      </w:tr>
    </w:tbl>
    <w:p w14:paraId="0BDE21C8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结果：全程一个料号；台账净效果=原料仓少 5 米（投入生产）；批次可追溯出库单→结算单。</w:t>
      </w:r>
    </w:p>
    <w:p w14:paraId="299DEC91">
      <w:pPr>
        <w:pStyle w:val="5"/>
        <w:rPr>
          <w:vertAlign w:val="subscript"/>
        </w:rPr>
      </w:pPr>
      <w:r>
        <w:rPr>
          <w:rFonts w:ascii="微软雅黑" w:hAnsi="微软雅黑" w:eastAsia="微软雅黑"/>
          <w:b/>
          <w:color w:val="2E75B6"/>
          <w:sz w:val="24"/>
        </w:rPr>
        <w:t>3.2 方案 B（不采用）— 典型记账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4031"/>
        <w:gridCol w:w="4804"/>
      </w:tblGrid>
      <w:tr w14:paraId="7491EB1A">
        <w:trPr>
          <w:jc w:val="center"/>
        </w:trPr>
        <w:tc>
          <w:tcPr>
            <w:tcW w:w="912" w:type="dxa"/>
          </w:tcPr>
          <w:p w14:paraId="2AB2D4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w="4031" w:type="dxa"/>
          </w:tcPr>
          <w:p w14:paraId="24A4B2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w="4804" w:type="dxa"/>
          </w:tcPr>
          <w:p w14:paraId="2E9530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库存变化（多料号）</w:t>
            </w:r>
          </w:p>
        </w:tc>
      </w:tr>
      <w:tr w14:paraId="0CEAD3D1">
        <w:trPr>
          <w:jc w:val="center"/>
        </w:trPr>
        <w:tc>
          <w:tcPr>
            <w:tcW w:w="912" w:type="dxa"/>
          </w:tcPr>
          <w:p w14:paraId="28A8A0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031" w:type="dxa"/>
          </w:tcPr>
          <w:p w14:paraId="6CCE2D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出「6米管」SKU，或「按根」转「按米」</w:t>
            </w:r>
          </w:p>
        </w:tc>
        <w:tc>
          <w:tcPr>
            <w:tcW w:w="4804" w:type="dxa"/>
          </w:tcPr>
          <w:p w14:paraId="13EDC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依赖转换单；漏转则两边账不平</w:t>
            </w:r>
          </w:p>
        </w:tc>
      </w:tr>
      <w:tr w14:paraId="20366082">
        <w:trPr>
          <w:jc w:val="center"/>
        </w:trPr>
        <w:tc>
          <w:tcPr>
            <w:tcW w:w="912" w:type="dxa"/>
          </w:tcPr>
          <w:p w14:paraId="32A678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031" w:type="dxa"/>
          </w:tcPr>
          <w:p w14:paraId="5D16F4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耗用 5 米</w:t>
            </w:r>
          </w:p>
        </w:tc>
        <w:tc>
          <w:tcPr>
            <w:tcW w:w="4804" w:type="dxa"/>
          </w:tcPr>
          <w:p w14:paraId="6FF7AD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若只有「米」SKU，还要区分是否另建「下料耗用」逻辑</w:t>
            </w:r>
          </w:p>
        </w:tc>
      </w:tr>
      <w:tr w14:paraId="0CF2326A">
        <w:trPr>
          <w:jc w:val="center"/>
        </w:trPr>
        <w:tc>
          <w:tcPr>
            <w:tcW w:w="912" w:type="dxa"/>
          </w:tcPr>
          <w:p w14:paraId="6BD042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031" w:type="dxa"/>
          </w:tcPr>
          <w:p w14:paraId="139DE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余料 1 米</w:t>
            </w:r>
          </w:p>
        </w:tc>
        <w:tc>
          <w:tcPr>
            <w:tcW w:w="4804" w:type="dxa"/>
          </w:tcPr>
          <w:p w14:paraId="6EDED7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要么新建「1米管」SKU（长度一变一码），要么进笼统「余料」SKU（丢失长度，后续无法再拣选准确长度）</w:t>
            </w:r>
          </w:p>
        </w:tc>
      </w:tr>
    </w:tbl>
    <w:p w14:paraId="1B7EFA81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结果：主数据膨胀或库存失真；追溯需跨多个 SKU 拼链路；结算难以标准化。</w:t>
      </w:r>
    </w:p>
    <w:p w14:paraId="6229B501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对照示意：</w:t>
      </w:r>
    </w:p>
    <w:p w14:paraId="053BAEFA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方案 A：[同一料号]  6米 ──锯──► 耗5米 + 余1米（数量/批次属性变）</w:t>
      </w:r>
    </w:p>
    <w:p w14:paraId="0B240F5B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方案 B：[SKU-6米] ──────► [SKU-耗用?] + [SKU-1米 或 余料笼统码]（编码变）</w:t>
      </w:r>
    </w:p>
    <w:p w14:paraId="69966C51">
      <w:pPr>
        <w:pStyle w:val="4"/>
      </w:pPr>
      <w:r>
        <w:rPr>
          <w:rFonts w:ascii="微软雅黑" w:hAnsi="微软雅黑" w:eastAsia="微软雅黑"/>
          <w:b/>
          <w:color w:val="2E75B6"/>
          <w:sz w:val="28"/>
        </w:rPr>
        <w:t>4. 采用方案的边界约定（避免误解）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759D352">
        <w:trPr>
          <w:jc w:val="center"/>
        </w:trPr>
        <w:tc>
          <w:tcPr>
            <w:tcW w:w="4873" w:type="dxa"/>
          </w:tcPr>
          <w:p w14:paraId="72D9D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约定</w:t>
            </w:r>
          </w:p>
        </w:tc>
        <w:tc>
          <w:tcPr>
            <w:tcW w:w="4873" w:type="dxa"/>
          </w:tcPr>
          <w:p w14:paraId="58F757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99D27D6">
        <w:trPr>
          <w:jc w:val="center"/>
        </w:trPr>
        <w:tc>
          <w:tcPr>
            <w:tcW w:w="4873" w:type="dxa"/>
          </w:tcPr>
          <w:p w14:paraId="6BB8AA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库存账唯一口径</w:t>
            </w:r>
          </w:p>
        </w:tc>
        <w:tc>
          <w:tcPr>
            <w:tcW w:w="4873" w:type="dxa"/>
          </w:tcPr>
          <w:p w14:paraId="2663E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账面数量 = 库存单位（米/㎡等）</w:t>
            </w:r>
          </w:p>
        </w:tc>
      </w:tr>
      <w:tr w14:paraId="60BE790A">
        <w:trPr>
          <w:jc w:val="center"/>
        </w:trPr>
        <w:tc>
          <w:tcPr>
            <w:tcW w:w="4873" w:type="dxa"/>
          </w:tcPr>
          <w:p w14:paraId="4D7AA1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采购单位角色</w:t>
            </w:r>
          </w:p>
        </w:tc>
        <w:tc>
          <w:tcPr>
            <w:tcW w:w="4873" w:type="dxa"/>
          </w:tcPr>
          <w:p w14:paraId="219F58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仅用于采购/入库录入与换算，不另建存货 SKU</w:t>
            </w:r>
          </w:p>
        </w:tc>
      </w:tr>
      <w:tr w14:paraId="76DBF8C2">
        <w:trPr>
          <w:jc w:val="center"/>
        </w:trPr>
        <w:tc>
          <w:tcPr>
            <w:tcW w:w="4873" w:type="dxa"/>
          </w:tcPr>
          <w:p w14:paraId="6091A9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批次属性</w:t>
            </w:r>
          </w:p>
        </w:tc>
        <w:tc>
          <w:tcPr>
            <w:tcW w:w="4873" w:type="dxa"/>
          </w:tcPr>
          <w:p w14:paraId="4A7F9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单件长度/面积、条码、货位；支持整出与余料回</w:t>
            </w:r>
          </w:p>
        </w:tc>
      </w:tr>
      <w:tr w14:paraId="14FEEC4B">
        <w:trPr>
          <w:jc w:val="center"/>
        </w:trPr>
        <w:tc>
          <w:tcPr>
            <w:tcW w:w="4873" w:type="dxa"/>
          </w:tcPr>
          <w:p w14:paraId="3910E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下料结算</w:t>
            </w:r>
          </w:p>
        </w:tc>
        <w:tc>
          <w:tcPr>
            <w:tcW w:w="4873" w:type="dxa"/>
          </w:tcPr>
          <w:p w14:paraId="37F7B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挂出库单；确认实耗与余料回库，不改料号</w:t>
            </w:r>
          </w:p>
        </w:tc>
      </w:tr>
      <w:tr w14:paraId="6B0D20E2">
        <w:trPr>
          <w:jc w:val="center"/>
        </w:trPr>
        <w:tc>
          <w:tcPr>
            <w:tcW w:w="4873" w:type="dxa"/>
          </w:tcPr>
          <w:p w14:paraId="505422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SKU/变体</w:t>
            </w:r>
          </w:p>
        </w:tc>
        <w:tc>
          <w:tcPr>
            <w:tcW w:w="4873" w:type="dxa"/>
          </w:tcPr>
          <w:p w14:paraId="12DD9E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仅用于规格、材质等离散维度，不用于长度分段</w:t>
            </w:r>
          </w:p>
        </w:tc>
      </w:tr>
    </w:tbl>
    <w:p w14:paraId="56F0C666"/>
    <w:p w14:paraId="3B9A1C4B">
      <w:pPr>
        <w:pStyle w:val="4"/>
      </w:pPr>
      <w:r>
        <w:rPr>
          <w:rFonts w:ascii="微软雅黑" w:hAnsi="微软雅黑" w:eastAsia="微软雅黑"/>
          <w:b/>
          <w:color w:val="2E75B6"/>
          <w:sz w:val="28"/>
        </w:rPr>
        <w:t>5. 一句话答复研发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77120F5">
        <w:trPr>
          <w:jc w:val="center"/>
        </w:trPr>
        <w:tc>
          <w:tcPr>
            <w:tcW w:w="9746" w:type="dxa"/>
          </w:tcPr>
          <w:p w14:paraId="4CD803B8"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对外口径</w:t>
            </w:r>
          </w:p>
          <w:p w14:paraId="76D34435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双单位解决的是「同一存货的两种计量」，不是「两种存货」。</w:t>
            </w:r>
          </w:p>
          <w:p w14:paraId="1F9752BD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 SKU 拆根/米或按长度建码，短期单位看起来简单，长期主数据与对账成本不可控，且无法干净表达整出+余料回。</w:t>
            </w:r>
          </w:p>
          <w:p w14:paraId="6C6EA73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库存、BOM、下料只认一个库存料号；采购单位做换算与录入，不平行建存货 SKU。</w:t>
            </w:r>
          </w:p>
        </w:tc>
      </w:tr>
    </w:tbl>
    <w:p w14:paraId="78028C36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9E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cat</cp:lastModifiedBy>
  <dcterms:modified xsi:type="dcterms:W3CDTF">2026-08-03T12:18:37Z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E1891C2DAA78400E9D16706A07583ABE_42</vt:lpwstr>
  </property>
</Properties>
</file>