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jc w:val="center"/>
      </w:pPr>
      <w:r>
        <w:t xml:space="preserve">智能碳监测终端 CT-200（虚拟） 产品碳足迹核算报告 / Product Carbon Footprint Report</w:t>
      </w:r>
    </w:p>
    <w:p>
      <w:pPr>
        <w:spacing w:after="240"/>
        <w:jc w:val="center"/>
      </w:pPr>
      <w:r>
        <w:rPr>
          <w:color w:val="64748B"/>
          <w:sz w:val="18"/>
          <w:szCs w:val="18"/>
        </w:rPr>
        <w:t xml:space="preserve">ISO 14067:2018 | 功能单位: 1 件 | CarbonAI V6.0 双语报告</w:t>
      </w:r>
    </w:p>
    <w:p>
      <w:pPr>
        <w:spacing w:after="100"/>
      </w:pPr>
      <w:r>
        <w:rPr>
          <w:sz w:val="22"/>
          <w:szCs w:val="22"/>
        </w:rPr>
        <w:t xml:space="preserve">产品 / Product: 智能碳监测终端 CT-200（虚拟）</w:t>
      </w:r>
    </w:p>
    <w:p>
      <w:pPr>
        <w:spacing w:after="100"/>
      </w:pPr>
      <w:r>
        <w:rPr>
          <w:sz w:val="22"/>
          <w:szCs w:val="22"/>
        </w:rPr>
        <w:t xml:space="preserve">核算标准 / Standard: ISO 14067:2018 | 功能单位 / Functional Unit: 1 件 |
      报告日期 / Date: 2026/10/12</w:t>
      </w:r>
    </w:p>
    <w:p>
      <w:pPr>
        <w:pStyle w:val="Heading2"/>
        <w:spacing w:before="200" w:after="120"/>
      </w:pPr>
      <w:r>
        <w:t xml:space="preserve">一、核算结果总览 / 1. Summary of Results</w:t>
      </w:r>
    </w:p>
    <w:p>
      <w:pPr>
        <w:spacing w:after="100"/>
      </w:pPr>
      <w:r>
        <w:rPr>
          <w:sz w:val="22"/>
          <w:szCs w:val="22"/>
        </w:rPr>
        <w:t xml:space="preserve">本产品全生命周期温室气体排放量为 / The cradle-to-grave GHG emissions of this product amount to
     67.80 kgCO₂e / 件，
    核算依据 / in accordance with ISO 14067:2018，覆盖原材料获取、生产制造、运输分销、使用阶段与废弃回收五个生命周期阶段。 / covering five life cycle stages: raw materials, manufacturing, transport &amp; distribution, use, and end-of-life.</w:t>
      </w:r>
    </w:p>
    <w:p>
      <w:pPr>
        <w:pStyle w:val="Heading2"/>
        <w:spacing w:before="200" w:after="120"/>
      </w:pPr>
      <w:r>
        <w:t xml:space="preserve">二、各阶段排放分布 / 2. Emissions by Life Cycle Stage</w:t>
      </w:r>
    </w:p>
    <w:p>
      <w:pPr>
        <w:pStyle w:val="Heading2"/>
        <w:spacing w:before="200" w:after="120"/>
      </w:pPr>
      <w:r>
        <w:t xml:space="preserve">三、LCA 明细表 / 3. LCA Detail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F0FDF4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阶段 / Stage</w:t>
            </w:r>
          </w:p>
        </w:tc>
        <w:tc>
          <w:tcPr>
            <w:tcW w:type="dxa" w:w="2250"/>
            <w:shd w:fill="F0FDF4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排放量 (kgCO₂e) / Emissions</w:t>
            </w:r>
          </w:p>
        </w:tc>
        <w:tc>
          <w:tcPr>
            <w:tcW w:type="dxa" w:w="2250"/>
            <w:shd w:fill="F0FDF4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占比 / Share</w:t>
            </w:r>
          </w:p>
        </w:tc>
        <w:tc>
          <w:tcPr>
            <w:tcW w:type="dxa" w:w="2250"/>
            <w:shd w:fill="F0FDF4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主要排放源 / Main Source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⛏️ 原材料获取 Raw Materials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18.4%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Ecoinvent 3.9 / 行业LCA数据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🏭 生产制造 Manufacturing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28.30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组装线电力 + 锡焊工艺（南方电网因子）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🚛 运输分销 Transport &amp; Distribution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5.70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8.4%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干线公路货运 (GLEC 3.0)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⚡ 使用阶段 Use Phase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18.20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26.8%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 年运行电力（南方电网因子）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♻️ 废弃回收 End of Life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4.6%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拆解回收 + 无害化处理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 / Total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67.80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kgCO₂e / 件</w:t>
            </w:r>
          </w:p>
        </w:tc>
      </w:tr>
    </w:tbl>
    <w:p/>
    <w:p>
      <w:pPr>
        <w:spacing w:before="300"/>
        <w:jc w:val="center"/>
      </w:pPr>
      <w:r>
        <w:rPr>
          <w:color w:val="94A3B8"/>
          <w:sz w:val="16"/>
          <w:szCs w:val="16"/>
        </w:rPr>
        <w:t xml:space="preserve">CarbonAI V6.0 生成，正式提交前须经第三方核查机构审核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2026-10-12T06:00:13.497Z</dcterms:created>
  <dcterms:modified xsi:type="dcterms:W3CDTF">2026-10-12T06:00:13.497Z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