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A232D" w14:textId="66418AB7" w:rsidR="00D017C2" w:rsidRPr="00D017C2" w:rsidRDefault="00D017C2" w:rsidP="00D017C2">
      <w:pPr>
        <w:pStyle w:val="1"/>
      </w:pPr>
      <w:r w:rsidRPr="00D017C2">
        <w:t>负荷及分布式电源出力特性分析</w:t>
      </w:r>
    </w:p>
    <w:p w14:paraId="60C42706" w14:textId="39644EAB" w:rsidR="00D017C2" w:rsidRDefault="00D017C2" w:rsidP="00D017C2">
      <w:pPr>
        <w:ind w:firstLine="482"/>
      </w:pPr>
      <w:r w:rsidRPr="00D017C2">
        <w:rPr>
          <w:b/>
          <w:bCs/>
        </w:rPr>
        <w:t>核心内容</w:t>
      </w:r>
      <w:r w:rsidRPr="00D017C2">
        <w:t>：基于</w:t>
      </w:r>
      <w:r w:rsidR="003B7701">
        <w:rPr>
          <w:rFonts w:hint="eastAsia"/>
        </w:rPr>
        <w:t>负荷</w:t>
      </w:r>
      <w:r w:rsidRPr="00D017C2">
        <w:t>数据分析负荷与各类分布式电源的年特性、日特性，制定典型日与极端</w:t>
      </w:r>
      <w:proofErr w:type="gramStart"/>
      <w:r w:rsidRPr="00D017C2">
        <w:t>场景源荷曲线</w:t>
      </w:r>
      <w:proofErr w:type="gramEnd"/>
      <w:r w:rsidRPr="00D017C2">
        <w:t>选取原则。</w:t>
      </w:r>
    </w:p>
    <w:p w14:paraId="6019FB6D" w14:textId="66DCE00B" w:rsidR="00D017C2" w:rsidRDefault="00D017C2" w:rsidP="00D017C2">
      <w:pPr>
        <w:pStyle w:val="2"/>
      </w:pPr>
      <w:r w:rsidRPr="00D017C2">
        <w:t>负荷特性</w:t>
      </w:r>
    </w:p>
    <w:p w14:paraId="06E5CD42" w14:textId="77777777" w:rsidR="00E86B1D" w:rsidRPr="00D017C2" w:rsidRDefault="00E86B1D" w:rsidP="00E86B1D">
      <w:pPr>
        <w:ind w:firstLine="480"/>
        <w:rPr>
          <w:rFonts w:hint="eastAsia"/>
        </w:rPr>
      </w:pPr>
      <w:r>
        <w:rPr>
          <w:rFonts w:hint="eastAsia"/>
        </w:rPr>
        <w:t>参考</w:t>
      </w:r>
      <w:r w:rsidRPr="00E86B1D">
        <w:t>oT_Data_Demand_sSEP.csv</w:t>
      </w:r>
      <w:r>
        <w:rPr>
          <w:rFonts w:hint="eastAsia"/>
        </w:rPr>
        <w:t>文件。</w:t>
      </w:r>
    </w:p>
    <w:p w14:paraId="5FCF742A" w14:textId="374D31F3" w:rsidR="00D017C2" w:rsidRPr="00D017C2" w:rsidRDefault="00D017C2" w:rsidP="00D017C2">
      <w:pPr>
        <w:pStyle w:val="3"/>
      </w:pPr>
      <w:r w:rsidRPr="00D017C2">
        <w:t>年特性</w:t>
      </w:r>
    </w:p>
    <w:p w14:paraId="34A85ADB" w14:textId="582ACA31" w:rsidR="00D017C2" w:rsidRPr="00D017C2" w:rsidRDefault="00D017C2" w:rsidP="00D017C2">
      <w:pPr>
        <w:ind w:firstLine="480"/>
      </w:pPr>
      <w:r w:rsidRPr="00D017C2">
        <w:t>分别计算负荷月平均功率，</w:t>
      </w:r>
      <w:proofErr w:type="gramStart"/>
      <w:r w:rsidRPr="00D017C2">
        <w:t>给出标幺值与</w:t>
      </w:r>
      <w:proofErr w:type="gramEnd"/>
      <w:r w:rsidRPr="00D017C2">
        <w:t>实际值。</w:t>
      </w:r>
    </w:p>
    <w:p w14:paraId="39B2571B" w14:textId="27821910" w:rsidR="00D017C2" w:rsidRPr="00D017C2" w:rsidRDefault="00D017C2" w:rsidP="00D017C2">
      <w:pPr>
        <w:pStyle w:val="3"/>
      </w:pPr>
      <w:r w:rsidRPr="00D017C2">
        <w:t>日特性</w:t>
      </w:r>
    </w:p>
    <w:p w14:paraId="09C46E98" w14:textId="77777777" w:rsidR="00D017C2" w:rsidRPr="00D017C2" w:rsidRDefault="00D017C2" w:rsidP="003B7701">
      <w:pPr>
        <w:ind w:firstLine="480"/>
      </w:pPr>
      <w:r w:rsidRPr="00D017C2">
        <w:t>春夏秋冬典型日：按季平均电量确定四季典型日</w:t>
      </w:r>
      <w:r w:rsidRPr="00D017C2">
        <w:t xml:space="preserve"> 24 </w:t>
      </w:r>
      <w:r w:rsidRPr="00D017C2">
        <w:t>小时负荷曲线。</w:t>
      </w:r>
    </w:p>
    <w:p w14:paraId="4FD37125" w14:textId="1A65CECF" w:rsidR="00D017C2" w:rsidRPr="00D017C2" w:rsidRDefault="00D017C2" w:rsidP="003B7701">
      <w:pPr>
        <w:ind w:firstLine="480"/>
      </w:pPr>
      <w:r w:rsidRPr="00D017C2">
        <w:t>连续</w:t>
      </w:r>
      <w:r w:rsidRPr="00D017C2">
        <w:t xml:space="preserve"> 3 </w:t>
      </w:r>
      <w:r w:rsidRPr="00D017C2">
        <w:t>天最大负荷：计算四季最大连续</w:t>
      </w:r>
      <w:r w:rsidRPr="00D017C2">
        <w:t xml:space="preserve"> 3 </w:t>
      </w:r>
      <w:r w:rsidRPr="00D017C2">
        <w:t>天用电量，按</w:t>
      </w:r>
      <w:r w:rsidRPr="00D017C2">
        <w:t xml:space="preserve"> 15% </w:t>
      </w:r>
      <w:r w:rsidRPr="00D017C2">
        <w:t>比例折算基础保障负荷用电量。</w:t>
      </w:r>
    </w:p>
    <w:p w14:paraId="7DA86D8E" w14:textId="1A93AE95" w:rsidR="00D017C2" w:rsidRDefault="00D017C2" w:rsidP="003B7701">
      <w:pPr>
        <w:pStyle w:val="2"/>
      </w:pPr>
      <w:r w:rsidRPr="00D017C2">
        <w:t>分布式电源出力特性分析</w:t>
      </w:r>
    </w:p>
    <w:p w14:paraId="281CA9FA" w14:textId="7FB8F91D" w:rsidR="00E86B1D" w:rsidRPr="00E86B1D" w:rsidRDefault="00E86B1D" w:rsidP="00E86B1D">
      <w:pPr>
        <w:ind w:firstLine="480"/>
        <w:rPr>
          <w:rFonts w:hint="eastAsia"/>
        </w:rPr>
      </w:pPr>
      <w:r>
        <w:rPr>
          <w:rFonts w:hint="eastAsia"/>
        </w:rPr>
        <w:t>参考</w:t>
      </w:r>
      <w:r w:rsidRPr="00E86B1D">
        <w:t>oT_Data_VariableMaxGeneration_sSEP.csv</w:t>
      </w:r>
      <w:r>
        <w:rPr>
          <w:rFonts w:hint="eastAsia"/>
        </w:rPr>
        <w:t>文件。</w:t>
      </w:r>
    </w:p>
    <w:p w14:paraId="417FEDFA" w14:textId="507146CC" w:rsidR="00D017C2" w:rsidRPr="00D017C2" w:rsidRDefault="00D017C2" w:rsidP="003B7701">
      <w:pPr>
        <w:pStyle w:val="3"/>
      </w:pPr>
      <w:r w:rsidRPr="00D017C2">
        <w:t>年特性</w:t>
      </w:r>
    </w:p>
    <w:p w14:paraId="63D9605E" w14:textId="77777777" w:rsidR="00D017C2" w:rsidRPr="00D017C2" w:rsidRDefault="00D017C2" w:rsidP="003B7701">
      <w:pPr>
        <w:ind w:firstLine="480"/>
      </w:pPr>
      <w:r w:rsidRPr="00D017C2">
        <w:t>给出水电、风电、光伏的年利用小时数，计算逐月平均出力标幺值，呈现季节性出力规律。</w:t>
      </w:r>
    </w:p>
    <w:p w14:paraId="2552DA1B" w14:textId="25AE80B1" w:rsidR="00D017C2" w:rsidRPr="00D017C2" w:rsidRDefault="00D017C2" w:rsidP="003B7701">
      <w:pPr>
        <w:pStyle w:val="3"/>
      </w:pPr>
      <w:r w:rsidRPr="00D017C2">
        <w:t>典型</w:t>
      </w:r>
      <w:proofErr w:type="gramStart"/>
      <w:r w:rsidRPr="00D017C2">
        <w:t>日源荷</w:t>
      </w:r>
      <w:proofErr w:type="gramEnd"/>
      <w:r w:rsidRPr="00D017C2">
        <w:t>出力曲线选取原则</w:t>
      </w:r>
    </w:p>
    <w:p w14:paraId="0D4C7AC3" w14:textId="460E0BCF" w:rsidR="00D017C2" w:rsidRPr="00D017C2" w:rsidRDefault="00D017C2" w:rsidP="003B7701">
      <w:pPr>
        <w:ind w:firstLine="480"/>
        <w:rPr>
          <w:rFonts w:hint="eastAsia"/>
        </w:rPr>
      </w:pPr>
      <w:r w:rsidRPr="00D017C2">
        <w:t>典型日负荷选取：分春、夏、秋、冬四季及极端场景，明确不同场景下的负荷考虑范围与折算比例。</w:t>
      </w:r>
    </w:p>
    <w:p w14:paraId="4A0E3EEA" w14:textId="72F88332" w:rsidR="00D017C2" w:rsidRDefault="00D017C2" w:rsidP="003B7701">
      <w:pPr>
        <w:pStyle w:val="3"/>
      </w:pPr>
      <w:r w:rsidRPr="00D017C2">
        <w:t>光伏出力特性</w:t>
      </w:r>
    </w:p>
    <w:p w14:paraId="6F4A95EC" w14:textId="617D3844" w:rsidR="003B7701" w:rsidRPr="003B7701" w:rsidRDefault="003B7701" w:rsidP="003B7701">
      <w:pPr>
        <w:ind w:firstLine="480"/>
        <w:rPr>
          <w:rFonts w:hint="eastAsia"/>
        </w:rPr>
      </w:pPr>
      <w:r>
        <w:rPr>
          <w:rFonts w:hint="eastAsia"/>
        </w:rPr>
        <w:t>先判断系统里有没有光伏再写这部分技术报告。</w:t>
      </w:r>
    </w:p>
    <w:p w14:paraId="1F907A11" w14:textId="77777777" w:rsidR="00D017C2" w:rsidRPr="00D017C2" w:rsidRDefault="00D017C2" w:rsidP="003B7701">
      <w:pPr>
        <w:ind w:firstLine="480"/>
      </w:pPr>
      <w:r w:rsidRPr="00D017C2">
        <w:t>年特性：逐月平均出力数据与变化规律。</w:t>
      </w:r>
    </w:p>
    <w:p w14:paraId="04A7969A" w14:textId="77777777" w:rsidR="00D017C2" w:rsidRPr="00D017C2" w:rsidRDefault="00D017C2" w:rsidP="003B7701">
      <w:pPr>
        <w:ind w:firstLine="480"/>
      </w:pPr>
      <w:r w:rsidRPr="00D017C2">
        <w:t>日特性：春夏秋冬四季典型日</w:t>
      </w:r>
      <w:r w:rsidRPr="00D017C2">
        <w:t xml:space="preserve"> 24 </w:t>
      </w:r>
      <w:r w:rsidRPr="00D017C2">
        <w:t>小时出力曲线。</w:t>
      </w:r>
    </w:p>
    <w:p w14:paraId="2C493CCE" w14:textId="77777777" w:rsidR="00D017C2" w:rsidRPr="00D017C2" w:rsidRDefault="00D017C2" w:rsidP="003B7701">
      <w:pPr>
        <w:ind w:firstLine="480"/>
      </w:pPr>
      <w:r w:rsidRPr="00D017C2">
        <w:t>极端场景：选取连续</w:t>
      </w:r>
      <w:r w:rsidRPr="00D017C2">
        <w:t xml:space="preserve"> 3 </w:t>
      </w:r>
      <w:r w:rsidRPr="00D017C2">
        <w:t>天最小光伏出力数据，支撑极端场景电力电量平衡分析。</w:t>
      </w:r>
    </w:p>
    <w:p w14:paraId="10AE80C8" w14:textId="7AFB866C" w:rsidR="00D017C2" w:rsidRDefault="00D017C2" w:rsidP="003B7701">
      <w:pPr>
        <w:pStyle w:val="3"/>
      </w:pPr>
      <w:r w:rsidRPr="00D017C2">
        <w:lastRenderedPageBreak/>
        <w:t>风电出力特性</w:t>
      </w:r>
    </w:p>
    <w:p w14:paraId="1113143F" w14:textId="068A798E" w:rsidR="003B7701" w:rsidRPr="003B7701" w:rsidRDefault="003B7701" w:rsidP="003B7701">
      <w:pPr>
        <w:ind w:firstLine="480"/>
        <w:rPr>
          <w:rFonts w:hint="eastAsia"/>
        </w:rPr>
      </w:pPr>
      <w:r>
        <w:rPr>
          <w:rFonts w:hint="eastAsia"/>
        </w:rPr>
        <w:t>先判断系统里有没有</w:t>
      </w:r>
      <w:r>
        <w:rPr>
          <w:rFonts w:hint="eastAsia"/>
        </w:rPr>
        <w:t>风电</w:t>
      </w:r>
      <w:r>
        <w:rPr>
          <w:rFonts w:hint="eastAsia"/>
        </w:rPr>
        <w:t>再写这部分技术报告。</w:t>
      </w:r>
    </w:p>
    <w:p w14:paraId="3E93EF64" w14:textId="77777777" w:rsidR="00D017C2" w:rsidRPr="00D017C2" w:rsidRDefault="00D017C2" w:rsidP="003B7701">
      <w:pPr>
        <w:ind w:firstLine="480"/>
      </w:pPr>
      <w:r w:rsidRPr="00D017C2">
        <w:t>年特性：逐月平均出力数据。</w:t>
      </w:r>
    </w:p>
    <w:p w14:paraId="4C53B06F" w14:textId="77777777" w:rsidR="00D017C2" w:rsidRPr="00D017C2" w:rsidRDefault="00D017C2" w:rsidP="003B7701">
      <w:pPr>
        <w:ind w:firstLine="480"/>
      </w:pPr>
      <w:r w:rsidRPr="00D017C2">
        <w:t>日特性：四季典型日出力曲线与极端场景最小出力曲线。</w:t>
      </w:r>
    </w:p>
    <w:p w14:paraId="41A47BC0" w14:textId="28425DDC" w:rsidR="00D017C2" w:rsidRDefault="00D017C2" w:rsidP="003B7701">
      <w:pPr>
        <w:pStyle w:val="3"/>
      </w:pPr>
      <w:r w:rsidRPr="00D017C2">
        <w:t>水电出力特性</w:t>
      </w:r>
    </w:p>
    <w:p w14:paraId="76853554" w14:textId="100131FB" w:rsidR="003B7701" w:rsidRPr="003B7701" w:rsidRDefault="003B7701" w:rsidP="003B7701">
      <w:pPr>
        <w:ind w:firstLine="480"/>
        <w:rPr>
          <w:rFonts w:hint="eastAsia"/>
        </w:rPr>
      </w:pPr>
      <w:r>
        <w:rPr>
          <w:rFonts w:hint="eastAsia"/>
        </w:rPr>
        <w:t>先判断系统里有没有</w:t>
      </w:r>
      <w:r>
        <w:rPr>
          <w:rFonts w:hint="eastAsia"/>
        </w:rPr>
        <w:t>水电</w:t>
      </w:r>
      <w:r>
        <w:rPr>
          <w:rFonts w:hint="eastAsia"/>
        </w:rPr>
        <w:t>再写这部分技术报告。</w:t>
      </w:r>
    </w:p>
    <w:p w14:paraId="5E2C3E07" w14:textId="77777777" w:rsidR="00D017C2" w:rsidRPr="00D017C2" w:rsidRDefault="00D017C2" w:rsidP="003B7701">
      <w:pPr>
        <w:ind w:firstLine="480"/>
      </w:pPr>
      <w:r w:rsidRPr="00D017C2">
        <w:t>年特性：逐月平均出力数据，丰枯季差异显著。</w:t>
      </w:r>
    </w:p>
    <w:p w14:paraId="6254851B" w14:textId="77777777" w:rsidR="00D017C2" w:rsidRPr="00D017C2" w:rsidRDefault="00D017C2" w:rsidP="003B7701">
      <w:pPr>
        <w:ind w:firstLine="480"/>
      </w:pPr>
      <w:r w:rsidRPr="00D017C2">
        <w:t>日特性：四季典型日</w:t>
      </w:r>
      <w:r w:rsidRPr="00D017C2">
        <w:t xml:space="preserve"> 24 </w:t>
      </w:r>
      <w:r w:rsidRPr="00D017C2">
        <w:t>小时出力曲线。</w:t>
      </w:r>
    </w:p>
    <w:p w14:paraId="5F835298" w14:textId="77777777" w:rsidR="00D017C2" w:rsidRPr="00D017C2" w:rsidRDefault="00D017C2" w:rsidP="003B7701">
      <w:pPr>
        <w:ind w:firstLine="480"/>
      </w:pPr>
      <w:r w:rsidRPr="00D017C2">
        <w:t>极端场景：连续</w:t>
      </w:r>
      <w:r w:rsidRPr="00D017C2">
        <w:t xml:space="preserve"> 3 </w:t>
      </w:r>
      <w:r w:rsidRPr="00D017C2">
        <w:t>天最小水电出力数据。</w:t>
      </w:r>
    </w:p>
    <w:p w14:paraId="20B8FC4B" w14:textId="05279ED2" w:rsidR="00D017C2" w:rsidRDefault="003B7701" w:rsidP="003B7701">
      <w:pPr>
        <w:pStyle w:val="1"/>
      </w:pPr>
      <w:r>
        <w:rPr>
          <w:rFonts w:hint="eastAsia"/>
        </w:rPr>
        <w:t>规划结果分析</w:t>
      </w:r>
    </w:p>
    <w:p w14:paraId="52B13B54" w14:textId="229FB581" w:rsidR="003B7701" w:rsidRDefault="003B7701" w:rsidP="003B7701">
      <w:pPr>
        <w:pStyle w:val="2"/>
      </w:pPr>
      <w:r>
        <w:rPr>
          <w:rFonts w:hint="eastAsia"/>
        </w:rPr>
        <w:t>容量和规划成本</w:t>
      </w:r>
    </w:p>
    <w:p w14:paraId="03CF8A77" w14:textId="2F926E97" w:rsidR="00576D31" w:rsidRPr="007E5034" w:rsidRDefault="00576D31" w:rsidP="00576D31">
      <w:pPr>
        <w:ind w:firstLine="480"/>
        <w:rPr>
          <w:rFonts w:hint="eastAsia"/>
        </w:rPr>
      </w:pPr>
      <w:r>
        <w:rPr>
          <w:rFonts w:hint="eastAsia"/>
        </w:rPr>
        <w:t>参考</w:t>
      </w:r>
      <w:r w:rsidRPr="00FA033D">
        <w:t>oT_Result_GenerationInvestment_sSEP.csv</w:t>
      </w:r>
      <w:r>
        <w:rPr>
          <w:rFonts w:hint="eastAsia"/>
        </w:rPr>
        <w:t>结果</w:t>
      </w:r>
      <w:r>
        <w:rPr>
          <w:rFonts w:hint="eastAsia"/>
        </w:rPr>
        <w:t>。</w:t>
      </w:r>
    </w:p>
    <w:p w14:paraId="10977FB7" w14:textId="13924643" w:rsidR="007E5034" w:rsidRPr="007E5034" w:rsidRDefault="007E5034" w:rsidP="007E5034">
      <w:pPr>
        <w:ind w:firstLine="480"/>
        <w:rPr>
          <w:rFonts w:hint="eastAsia"/>
        </w:rPr>
      </w:pPr>
      <w:r>
        <w:rPr>
          <w:rFonts w:hint="eastAsia"/>
        </w:rPr>
        <w:t>罗列规划电源储能容量及对应成本。</w:t>
      </w:r>
    </w:p>
    <w:p w14:paraId="5BA4ECBF" w14:textId="453AF477" w:rsidR="003B7701" w:rsidRDefault="003B7701" w:rsidP="003B7701">
      <w:pPr>
        <w:pStyle w:val="2"/>
      </w:pPr>
      <w:r>
        <w:rPr>
          <w:rFonts w:hint="eastAsia"/>
        </w:rPr>
        <w:t>生产运行模拟</w:t>
      </w:r>
      <w:r w:rsidR="007E5034">
        <w:rPr>
          <w:rFonts w:hint="eastAsia"/>
        </w:rPr>
        <w:t>分析</w:t>
      </w:r>
    </w:p>
    <w:p w14:paraId="15513D37" w14:textId="33FF260C" w:rsidR="008F259C" w:rsidRPr="007E5034" w:rsidRDefault="008F259C" w:rsidP="008F259C">
      <w:pPr>
        <w:ind w:firstLine="480"/>
        <w:rPr>
          <w:rFonts w:hint="eastAsia"/>
        </w:rPr>
      </w:pPr>
      <w:r>
        <w:rPr>
          <w:rFonts w:hint="eastAsia"/>
        </w:rPr>
        <w:t>参考</w:t>
      </w:r>
      <w:r w:rsidRPr="00E86B1D">
        <w:t>oT_Data_Demand_sSEP.csv</w:t>
      </w:r>
      <w:r>
        <w:rPr>
          <w:rFonts w:hint="eastAsia"/>
        </w:rPr>
        <w:t>、</w:t>
      </w:r>
      <w:r w:rsidRPr="008F259C">
        <w:t>oT_Result_TechnologyOutput_sSEP.csv</w:t>
      </w:r>
      <w:r>
        <w:rPr>
          <w:rFonts w:hint="eastAsia"/>
        </w:rPr>
        <w:t>结果。</w:t>
      </w:r>
    </w:p>
    <w:p w14:paraId="71F2BBD2" w14:textId="3FED6C38" w:rsidR="007E5034" w:rsidRPr="007E5034" w:rsidRDefault="007E5034" w:rsidP="007E5034">
      <w:pPr>
        <w:ind w:firstLine="480"/>
        <w:rPr>
          <w:rFonts w:hint="eastAsia"/>
        </w:rPr>
      </w:pPr>
      <w:r>
        <w:rPr>
          <w:rFonts w:hint="eastAsia"/>
        </w:rPr>
        <w:t>绘制典型日机组工作位置图，包括春夏秋冬典型场景和极端保供场景，</w:t>
      </w:r>
      <w:r>
        <w:rPr>
          <w:rFonts w:hint="eastAsia"/>
        </w:rPr>
        <w:t>5</w:t>
      </w:r>
      <w:r>
        <w:rPr>
          <w:rFonts w:hint="eastAsia"/>
        </w:rPr>
        <w:t>张图。</w:t>
      </w:r>
    </w:p>
    <w:p w14:paraId="30A8EC23" w14:textId="77C0CB4C" w:rsidR="003B7701" w:rsidRDefault="007E5034" w:rsidP="003B7701">
      <w:pPr>
        <w:pStyle w:val="2"/>
      </w:pPr>
      <w:r>
        <w:rPr>
          <w:rFonts w:hint="eastAsia"/>
        </w:rPr>
        <w:t>技术经济评价</w:t>
      </w:r>
    </w:p>
    <w:p w14:paraId="2B0A00E4" w14:textId="77777777" w:rsidR="007E5034" w:rsidRDefault="007E5034" w:rsidP="007E5034">
      <w:pPr>
        <w:keepNext/>
        <w:keepLines/>
        <w:numPr>
          <w:ilvl w:val="2"/>
          <w:numId w:val="1"/>
        </w:numPr>
        <w:ind w:left="0" w:firstLineChars="0" w:firstLine="0"/>
        <w:outlineLvl w:val="2"/>
        <w:rPr>
          <w:rFonts w:cs="Times New Roman"/>
          <w:sz w:val="28"/>
          <w:szCs w:val="24"/>
        </w:rPr>
      </w:pPr>
      <w:bookmarkStart w:id="0" w:name="_Toc189819508"/>
      <w:r>
        <w:rPr>
          <w:rFonts w:cs="Times New Roman" w:hint="eastAsia"/>
          <w:sz w:val="28"/>
          <w:szCs w:val="24"/>
        </w:rPr>
        <w:t>微电网电力电量平衡指标</w:t>
      </w:r>
      <w:bookmarkEnd w:id="0"/>
    </w:p>
    <w:p w14:paraId="39D0E426"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互动性指标</w:t>
      </w:r>
    </w:p>
    <w:p w14:paraId="1DCD5DEC" w14:textId="77777777" w:rsidR="007E5034" w:rsidRDefault="007E5034" w:rsidP="007E5034">
      <w:pPr>
        <w:ind w:firstLine="480"/>
        <w:rPr>
          <w:rFonts w:cs="Times New Roman"/>
        </w:rPr>
      </w:pPr>
      <w:r>
        <w:rPr>
          <w:rFonts w:cs="Times New Roman" w:hint="eastAsia"/>
        </w:rPr>
        <w:t>发用比、</w:t>
      </w:r>
      <w:proofErr w:type="gramStart"/>
      <w:r>
        <w:rPr>
          <w:rFonts w:cs="Times New Roman" w:hint="eastAsia"/>
        </w:rPr>
        <w:t>源荷比</w:t>
      </w:r>
      <w:proofErr w:type="gramEnd"/>
      <w:r>
        <w:rPr>
          <w:rFonts w:cs="Times New Roman" w:hint="eastAsia"/>
        </w:rPr>
        <w:t>、储荷比、</w:t>
      </w:r>
      <w:proofErr w:type="gramStart"/>
      <w:r>
        <w:rPr>
          <w:rFonts w:cs="Times New Roman" w:hint="eastAsia"/>
        </w:rPr>
        <w:t>最大反</w:t>
      </w:r>
      <w:proofErr w:type="gramEnd"/>
      <w:r>
        <w:rPr>
          <w:rFonts w:cs="Times New Roman" w:hint="eastAsia"/>
        </w:rPr>
        <w:t>送电力、最大下网电力、水电年利用小时数、风电年利用小时数、储能年利用小时数。</w:t>
      </w:r>
    </w:p>
    <w:p w14:paraId="6A98F196" w14:textId="77777777" w:rsidR="007E5034" w:rsidRDefault="007E5034" w:rsidP="007E5034">
      <w:pPr>
        <w:ind w:firstLine="480"/>
        <w:rPr>
          <w:rFonts w:cs="Times New Roman"/>
        </w:rPr>
      </w:pPr>
      <w:r>
        <w:rPr>
          <w:rFonts w:cs="Times New Roman" w:hint="eastAsia"/>
        </w:rPr>
        <w:t>（</w:t>
      </w:r>
      <w:r>
        <w:rPr>
          <w:rFonts w:cs="Times New Roman" w:hint="eastAsia"/>
        </w:rPr>
        <w:t>1</w:t>
      </w:r>
      <w:r>
        <w:rPr>
          <w:rFonts w:cs="Times New Roman" w:hint="eastAsia"/>
        </w:rPr>
        <w:t>）发用比（预计大于</w:t>
      </w:r>
      <w:r>
        <w:rPr>
          <w:rFonts w:cs="Times New Roman" w:hint="eastAsia"/>
        </w:rPr>
        <w:t>1=</w:t>
      </w:r>
      <w:r>
        <w:rPr>
          <w:rFonts w:cs="Times New Roman" w:hint="eastAsia"/>
        </w:rPr>
        <w:t>年发电量</w:t>
      </w:r>
      <w:r>
        <w:rPr>
          <w:rFonts w:cs="Times New Roman" w:hint="eastAsia"/>
        </w:rPr>
        <w:t>/</w:t>
      </w:r>
      <w:r>
        <w:rPr>
          <w:rFonts w:cs="Times New Roman" w:hint="eastAsia"/>
        </w:rPr>
        <w:t>年用电量）</w:t>
      </w:r>
    </w:p>
    <w:p w14:paraId="0878F2F1" w14:textId="77777777" w:rsidR="007E5034" w:rsidRDefault="007E5034" w:rsidP="007E5034">
      <w:pPr>
        <w:ind w:firstLine="480"/>
        <w:rPr>
          <w:rFonts w:cs="Times New Roman"/>
        </w:rPr>
      </w:pPr>
      <w:r>
        <w:rPr>
          <w:rFonts w:cs="Times New Roman" w:hint="eastAsia"/>
        </w:rPr>
        <w:t>（</w:t>
      </w:r>
      <w:r>
        <w:rPr>
          <w:rFonts w:cs="Times New Roman" w:hint="eastAsia"/>
        </w:rPr>
        <w:t>2</w:t>
      </w:r>
      <w:r>
        <w:rPr>
          <w:rFonts w:cs="Times New Roman" w:hint="eastAsia"/>
        </w:rPr>
        <w:t>）</w:t>
      </w:r>
      <w:proofErr w:type="gramStart"/>
      <w:r>
        <w:rPr>
          <w:rFonts w:cs="Times New Roman" w:hint="eastAsia"/>
        </w:rPr>
        <w:t>源荷比</w:t>
      </w:r>
      <w:proofErr w:type="gramEnd"/>
      <m:oMath>
        <m:sSub>
          <m:sSubPr>
            <m:ctrlPr>
              <w:rPr>
                <w:rFonts w:ascii="Cambria Math" w:hAnsi="Cambria Math" w:cs="Times New Roman"/>
                <w:i/>
              </w:rPr>
            </m:ctrlPr>
          </m:sSubPr>
          <m:e>
            <m:r>
              <m:rPr>
                <m:nor/>
              </m:rPr>
              <w:rPr>
                <w:rFonts w:cs="Times New Roman"/>
                <w:i/>
              </w:rPr>
              <m:t>r</m:t>
            </m:r>
          </m:e>
          <m:sub>
            <w:proofErr w:type="spellStart"/>
            <m:r>
              <m:rPr>
                <m:nor/>
              </m:rPr>
              <w:rPr>
                <w:rFonts w:cs="Times New Roman"/>
                <w:i/>
              </w:rPr>
              <m:t>gl</m:t>
            </m:r>
            <w:proofErr w:type="spellEnd"/>
          </m:sub>
        </m:sSub>
      </m:oMath>
      <w:r>
        <w:rPr>
          <w:rFonts w:cs="Times New Roman" w:hint="eastAsia"/>
        </w:rPr>
        <w:t>：微电网内电源总额定功率与最大用电负荷的比值，该指标反映微电网</w:t>
      </w:r>
      <w:proofErr w:type="gramStart"/>
      <w:r>
        <w:rPr>
          <w:rFonts w:cs="Times New Roman" w:hint="eastAsia"/>
        </w:rPr>
        <w:t>的源荷配置</w:t>
      </w:r>
      <w:proofErr w:type="gramEnd"/>
      <w:r>
        <w:rPr>
          <w:rFonts w:cs="Times New Roman" w:hint="eastAsia"/>
        </w:rPr>
        <w:t>情况。</w:t>
      </w:r>
    </w:p>
    <w:p w14:paraId="230CCD29" w14:textId="77777777" w:rsidR="007E5034" w:rsidRDefault="007E5034" w:rsidP="007E5034">
      <w:pPr>
        <w:ind w:firstLine="480"/>
        <w:jc w:val="right"/>
        <w:rPr>
          <w:rFonts w:cs="Times New Roman"/>
          <w:iCs/>
        </w:rPr>
      </w:pPr>
      <m:oMath>
        <m:sSub>
          <m:sSubPr>
            <m:ctrlPr>
              <w:rPr>
                <w:rFonts w:ascii="Cambria Math" w:hAnsi="Cambria Math" w:cs="Times New Roman"/>
                <w:i/>
              </w:rPr>
            </m:ctrlPr>
          </m:sSubPr>
          <m:e>
            <m:r>
              <m:rPr>
                <m:nor/>
              </m:rPr>
              <w:rPr>
                <w:rFonts w:cs="Times New Roman"/>
                <w:i/>
              </w:rPr>
              <m:t>r</m:t>
            </m:r>
          </m:e>
          <m:sub>
            <w:proofErr w:type="spellStart"/>
            <m:r>
              <m:rPr>
                <m:nor/>
              </m:rPr>
              <w:rPr>
                <w:rFonts w:cs="Times New Roman"/>
                <w:i/>
              </w:rPr>
              <m:t>gl</m:t>
            </m:r>
            <w:proofErr w:type="spellEnd"/>
          </m:sub>
        </m:sSub>
        <m:r>
          <m:rPr>
            <m:nor/>
          </m:rPr>
          <w:rPr>
            <w:rFonts w:cs="Times New Roman"/>
            <w:i/>
          </w:rPr>
          <m:t>=</m:t>
        </m:r>
        <m:f>
          <m:fPr>
            <m:type m:val="lin"/>
            <m:ctrlPr>
              <w:rPr>
                <w:rFonts w:ascii="Cambria Math" w:hAnsi="Cambria Math" w:cs="Times New Roman"/>
                <w:i/>
              </w:rPr>
            </m:ctrlPr>
          </m:fPr>
          <m:num>
            <m:nary>
              <m:naryPr>
                <m:chr m:val="∑"/>
                <m:limLoc m:val="undOvr"/>
                <m:ctrlPr>
                  <w:rPr>
                    <w:rFonts w:ascii="Cambria Math" w:hAnsi="Cambria Math" w:cs="Times New Roman"/>
                    <w:i/>
                  </w:rPr>
                </m:ctrlPr>
              </m:naryPr>
              <m:sub>
                <w:proofErr w:type="spellStart"/>
                <m:r>
                  <m:rPr>
                    <m:nor/>
                  </m:rPr>
                  <w:rPr>
                    <w:rFonts w:cs="Times New Roman"/>
                    <w:i/>
                  </w:rPr>
                  <m:t>i</m:t>
                </m:r>
                <w:proofErr w:type="spellEnd"/>
                <m:r>
                  <m:rPr>
                    <m:nor/>
                  </m:rPr>
                  <w:rPr>
                    <w:rFonts w:cs="Times New Roman"/>
                    <w:i/>
                  </w:rPr>
                  <m:t>=1</m:t>
                </m:r>
              </m:sub>
              <m:sup>
                <m:r>
                  <m:rPr>
                    <m:nor/>
                  </m:rPr>
                  <w:rPr>
                    <w:rFonts w:cs="Times New Roman"/>
                    <w:i/>
                  </w:rPr>
                  <m:t>n</m:t>
                </m:r>
              </m:sup>
              <m:e>
                <m:sSub>
                  <m:sSubPr>
                    <m:ctrlPr>
                      <w:rPr>
                        <w:rFonts w:ascii="Cambria Math" w:hAnsi="Cambria Math" w:cs="Times New Roman"/>
                        <w:i/>
                      </w:rPr>
                    </m:ctrlPr>
                  </m:sSubPr>
                  <m:e>
                    <m:r>
                      <m:rPr>
                        <m:nor/>
                      </m:rPr>
                      <w:rPr>
                        <w:rFonts w:cs="Times New Roman"/>
                        <w:i/>
                      </w:rPr>
                      <m:t>P</m:t>
                    </m:r>
                  </m:e>
                  <m:sub>
                    <m:r>
                      <m:rPr>
                        <m:nor/>
                      </m:rPr>
                      <w:rPr>
                        <w:rFonts w:cs="Times New Roman"/>
                        <w:i/>
                      </w:rPr>
                      <m:t>Gi</m:t>
                    </m:r>
                  </m:sub>
                </m:sSub>
              </m:e>
            </m:nary>
          </m:num>
          <m:den>
            <m:sSub>
              <m:sSubPr>
                <m:ctrlPr>
                  <w:rPr>
                    <w:rFonts w:ascii="Cambria Math" w:hAnsi="Cambria Math" w:cs="Times New Roman"/>
                    <w:i/>
                  </w:rPr>
                </m:ctrlPr>
              </m:sSubPr>
              <m:e>
                <m:r>
                  <m:rPr>
                    <m:nor/>
                  </m:rPr>
                  <w:rPr>
                    <w:rFonts w:cs="Times New Roman"/>
                    <w:i/>
                  </w:rPr>
                  <m:t>P</m:t>
                </m:r>
              </m:e>
              <m:sub>
                <m:r>
                  <m:rPr>
                    <m:nor/>
                  </m:rPr>
                  <w:rPr>
                    <w:rFonts w:cs="Times New Roman"/>
                    <w:i/>
                  </w:rPr>
                  <m:t>max</m:t>
                </m:r>
              </m:sub>
            </m:sSub>
          </m:den>
        </m:f>
      </m:oMath>
      <w:r>
        <w:rPr>
          <w:rFonts w:cs="Times New Roman" w:hint="eastAsia"/>
        </w:rPr>
        <w:t xml:space="preserve">                  </w:t>
      </w:r>
      <w:r>
        <w:rPr>
          <w:rFonts w:cs="Times New Roman"/>
        </w:rPr>
        <w:t xml:space="preserve">              </w:t>
      </w:r>
      <w:r>
        <w:rPr>
          <w:rFonts w:cs="Times New Roman" w:hint="eastAsia"/>
        </w:rPr>
        <w:t xml:space="preserve">            </w:t>
      </w:r>
      <w:r>
        <w:rPr>
          <w:rFonts w:cs="Times New Roman" w:hint="eastAsia"/>
          <w:iCs/>
        </w:rPr>
        <w:t>（</w:t>
      </w:r>
      <w:r>
        <w:rPr>
          <w:rFonts w:cs="Times New Roman" w:hint="eastAsia"/>
          <w:iCs/>
        </w:rPr>
        <w:t>1</w:t>
      </w:r>
      <w:r>
        <w:rPr>
          <w:rFonts w:cs="Times New Roman" w:hint="eastAsia"/>
          <w:iCs/>
        </w:rPr>
        <w:t>）</w:t>
      </w:r>
    </w:p>
    <w:p w14:paraId="3D276DEB" w14:textId="77777777" w:rsidR="007E5034" w:rsidRDefault="007E5034" w:rsidP="007E5034">
      <w:pPr>
        <w:ind w:firstLine="480"/>
        <w:rPr>
          <w:rFonts w:cs="Times New Roman"/>
          <w:iCs/>
        </w:rPr>
      </w:pPr>
      <w:r>
        <w:rPr>
          <w:rFonts w:cs="Times New Roman" w:hint="eastAsia"/>
          <w:iCs/>
        </w:rPr>
        <w:t>式中：</w:t>
      </w:r>
    </w:p>
    <w:p w14:paraId="2CB0A9E9" w14:textId="77777777" w:rsidR="007E5034" w:rsidRDefault="007E5034" w:rsidP="007E5034">
      <w:pPr>
        <w:ind w:firstLine="480"/>
        <w:rPr>
          <w:rFonts w:cs="Times New Roman"/>
        </w:rPr>
      </w:pPr>
      <m:oMath>
        <m:sSub>
          <m:sSubPr>
            <m:ctrlPr>
              <w:rPr>
                <w:rFonts w:ascii="Cambria Math" w:hAnsi="Cambria Math" w:cs="Times New Roman"/>
                <w:i/>
              </w:rPr>
            </m:ctrlPr>
          </m:sSubPr>
          <m:e>
            <m:r>
              <m:rPr>
                <m:nor/>
              </m:rPr>
              <w:rPr>
                <w:rFonts w:cs="Times New Roman"/>
                <w:i/>
              </w:rPr>
              <m:t>P</m:t>
            </m:r>
          </m:e>
          <m:sub>
            <m:r>
              <m:rPr>
                <m:nor/>
              </m:rPr>
              <w:rPr>
                <w:rFonts w:cs="Times New Roman"/>
                <w:i/>
              </w:rPr>
              <m:t>Gi</m:t>
            </m:r>
          </m:sub>
        </m:sSub>
      </m:oMath>
      <w:r>
        <w:rPr>
          <w:rFonts w:cs="Times New Roman" w:hint="eastAsia"/>
        </w:rPr>
        <w:t>——微电网中第</w:t>
      </w:r>
      <w:proofErr w:type="spellStart"/>
      <m:oMath>
        <m:r>
          <m:rPr>
            <m:nor/>
          </m:rPr>
          <w:rPr>
            <w:rFonts w:cs="Times New Roman"/>
            <w:i/>
            <w:iCs/>
          </w:rPr>
          <m:t>i</m:t>
        </m:r>
      </m:oMath>
      <w:proofErr w:type="spellEnd"/>
      <w:proofErr w:type="gramStart"/>
      <w:r>
        <w:rPr>
          <w:rFonts w:cs="Times New Roman" w:hint="eastAsia"/>
        </w:rPr>
        <w:t>个</w:t>
      </w:r>
      <w:proofErr w:type="gramEnd"/>
      <w:r>
        <w:rPr>
          <w:rFonts w:cs="Times New Roman" w:hint="eastAsia"/>
        </w:rPr>
        <w:t>电源的额定功率，</w:t>
      </w:r>
      <w:r>
        <w:rPr>
          <w:rFonts w:cs="Times New Roman" w:hint="eastAsia"/>
        </w:rPr>
        <w:t>kW</w:t>
      </w:r>
      <w:r>
        <w:rPr>
          <w:rFonts w:cs="Times New Roman" w:hint="eastAsia"/>
        </w:rPr>
        <w:t>；</w:t>
      </w:r>
    </w:p>
    <w:p w14:paraId="10732BCF" w14:textId="77777777" w:rsidR="007E5034" w:rsidRDefault="007E5034" w:rsidP="007E5034">
      <w:pPr>
        <w:ind w:firstLine="480"/>
        <w:rPr>
          <w:rFonts w:cs="Times New Roman"/>
        </w:rPr>
      </w:pPr>
      <m:oMath>
        <m:sSub>
          <m:sSubPr>
            <m:ctrlPr>
              <w:rPr>
                <w:rFonts w:ascii="Cambria Math" w:hAnsi="Cambria Math" w:cs="Times New Roman"/>
                <w:i/>
              </w:rPr>
            </m:ctrlPr>
          </m:sSubPr>
          <m:e>
            <m:r>
              <m:rPr>
                <m:nor/>
              </m:rPr>
              <w:rPr>
                <w:rFonts w:cs="Times New Roman"/>
                <w:i/>
              </w:rPr>
              <m:t>P</m:t>
            </m:r>
          </m:e>
          <m:sub>
            <m:r>
              <m:rPr>
                <m:nor/>
              </m:rPr>
              <w:rPr>
                <w:rFonts w:cs="Times New Roman"/>
                <w:i/>
              </w:rPr>
              <m:t>max</m:t>
            </m:r>
          </m:sub>
        </m:sSub>
      </m:oMath>
      <w:r>
        <w:rPr>
          <w:rFonts w:cs="Times New Roman" w:hint="eastAsia"/>
        </w:rPr>
        <w:t>——微电网最大用电负荷，</w:t>
      </w:r>
      <w:r>
        <w:rPr>
          <w:rFonts w:cs="Times New Roman" w:hint="eastAsia"/>
        </w:rPr>
        <w:t>kW</w:t>
      </w:r>
      <w:r>
        <w:rPr>
          <w:rFonts w:cs="Times New Roman" w:hint="eastAsia"/>
        </w:rPr>
        <w:t>。</w:t>
      </w:r>
    </w:p>
    <w:p w14:paraId="2D6467B6" w14:textId="77777777" w:rsidR="007E5034" w:rsidRDefault="007E5034" w:rsidP="007E5034">
      <w:pPr>
        <w:ind w:firstLine="480"/>
        <w:rPr>
          <w:rFonts w:cs="Times New Roman"/>
        </w:rPr>
      </w:pPr>
      <w:r>
        <w:rPr>
          <w:rFonts w:cs="Times New Roman" w:hint="eastAsia"/>
        </w:rPr>
        <w:t>（</w:t>
      </w:r>
      <w:r>
        <w:rPr>
          <w:rFonts w:cs="Times New Roman" w:hint="eastAsia"/>
        </w:rPr>
        <w:t>3</w:t>
      </w:r>
      <w:r>
        <w:rPr>
          <w:rFonts w:cs="Times New Roman" w:hint="eastAsia"/>
        </w:rPr>
        <w:t>）储荷比</w:t>
      </w:r>
      <m:oMath>
        <m:sSub>
          <m:sSubPr>
            <m:ctrlPr>
              <w:rPr>
                <w:rFonts w:ascii="Cambria Math" w:hAnsi="Cambria Math" w:cs="Times New Roman"/>
                <w:i/>
              </w:rPr>
            </m:ctrlPr>
          </m:sSubPr>
          <m:e>
            <m:r>
              <m:rPr>
                <m:nor/>
              </m:rPr>
              <w:rPr>
                <w:rFonts w:cs="Times New Roman"/>
                <w:i/>
              </w:rPr>
              <m:t>r</m:t>
            </m:r>
          </m:e>
          <m:sub>
            <w:proofErr w:type="spellStart"/>
            <m:r>
              <m:rPr>
                <m:nor/>
              </m:rPr>
              <w:rPr>
                <w:rFonts w:cs="Times New Roman"/>
                <w:i/>
              </w:rPr>
              <m:t>sl</m:t>
            </m:r>
            <w:proofErr w:type="spellEnd"/>
          </m:sub>
        </m:sSub>
      </m:oMath>
      <w:r>
        <w:rPr>
          <w:rFonts w:cs="Times New Roman" w:hint="eastAsia"/>
        </w:rPr>
        <w:t>：微电网内储能的额定容量与最大用电负荷持续</w:t>
      </w:r>
      <w:r>
        <w:rPr>
          <w:rFonts w:cs="Times New Roman" w:hint="eastAsia"/>
        </w:rPr>
        <w:t>1</w:t>
      </w:r>
      <w:r>
        <w:rPr>
          <w:rFonts w:cs="Times New Roman" w:hint="eastAsia"/>
        </w:rPr>
        <w:t>小时消耗电量的比值，该指标反映微电网的储荷配置情况。</w:t>
      </w:r>
    </w:p>
    <w:p w14:paraId="7FEB7DD7" w14:textId="77777777" w:rsidR="007E5034" w:rsidRDefault="007E5034" w:rsidP="007E5034">
      <w:pPr>
        <w:ind w:firstLine="480"/>
        <w:jc w:val="right"/>
        <w:rPr>
          <w:rFonts w:cs="Times New Roman"/>
          <w:iCs/>
        </w:rPr>
      </w:pPr>
      <m:oMath>
        <m:sSub>
          <m:sSubPr>
            <m:ctrlPr>
              <w:rPr>
                <w:rFonts w:ascii="Cambria Math" w:hAnsi="Cambria Math" w:cs="Times New Roman"/>
                <w:i/>
              </w:rPr>
            </m:ctrlPr>
          </m:sSubPr>
          <m:e>
            <m:r>
              <m:rPr>
                <m:nor/>
              </m:rPr>
              <w:rPr>
                <w:rFonts w:cs="Times New Roman"/>
                <w:i/>
              </w:rPr>
              <m:t>r</m:t>
            </m:r>
          </m:e>
          <m:sub>
            <w:proofErr w:type="spellStart"/>
            <m:r>
              <m:rPr>
                <m:nor/>
              </m:rPr>
              <w:rPr>
                <w:rFonts w:cs="Times New Roman"/>
                <w:i/>
              </w:rPr>
              <m:t>sl</m:t>
            </m:r>
            <w:proofErr w:type="spellEnd"/>
          </m:sub>
        </m:sSub>
        <m:r>
          <m:rPr>
            <m:nor/>
          </m:rPr>
          <w:rPr>
            <w:rFonts w:cs="Times New Roman"/>
            <w:i/>
          </w:rPr>
          <m:t>=</m:t>
        </m:r>
        <m:f>
          <m:fPr>
            <m:type m:val="lin"/>
            <m:ctrlPr>
              <w:rPr>
                <w:rFonts w:ascii="Cambria Math" w:hAnsi="Cambria Math" w:cs="Times New Roman"/>
                <w:i/>
              </w:rPr>
            </m:ctrlPr>
          </m:fPr>
          <m:num>
            <m:nary>
              <m:naryPr>
                <m:chr m:val="∑"/>
                <m:limLoc m:val="undOvr"/>
                <m:ctrlPr>
                  <w:rPr>
                    <w:rFonts w:ascii="Cambria Math" w:hAnsi="Cambria Math" w:cs="Times New Roman"/>
                    <w:i/>
                  </w:rPr>
                </m:ctrlPr>
              </m:naryPr>
              <m:sub>
                <w:proofErr w:type="spellStart"/>
                <m:r>
                  <m:rPr>
                    <m:nor/>
                  </m:rPr>
                  <w:rPr>
                    <w:rFonts w:cs="Times New Roman"/>
                    <w:i/>
                  </w:rPr>
                  <m:t>i</m:t>
                </m:r>
                <w:proofErr w:type="spellEnd"/>
                <m:r>
                  <m:rPr>
                    <m:nor/>
                  </m:rPr>
                  <w:rPr>
                    <w:rFonts w:cs="Times New Roman"/>
                    <w:i/>
                  </w:rPr>
                  <m:t>=1</m:t>
                </m:r>
              </m:sub>
              <m:sup>
                <m:r>
                  <m:rPr>
                    <m:nor/>
                  </m:rPr>
                  <w:rPr>
                    <w:rFonts w:cs="Times New Roman"/>
                    <w:i/>
                  </w:rPr>
                  <m:t>n</m:t>
                </m:r>
              </m:sup>
              <m:e>
                <m:sSub>
                  <m:sSubPr>
                    <m:ctrlPr>
                      <w:rPr>
                        <w:rFonts w:ascii="Cambria Math" w:hAnsi="Cambria Math" w:cs="Times New Roman"/>
                        <w:i/>
                      </w:rPr>
                    </m:ctrlPr>
                  </m:sSubPr>
                  <m:e>
                    <m:r>
                      <m:rPr>
                        <m:nor/>
                      </m:rPr>
                      <w:rPr>
                        <w:rFonts w:cs="Times New Roman"/>
                        <w:i/>
                      </w:rPr>
                      <m:t>W</m:t>
                    </m:r>
                  </m:e>
                  <m:sub>
                    <w:proofErr w:type="spellStart"/>
                    <m:r>
                      <m:rPr>
                        <m:nor/>
                      </m:rPr>
                      <w:rPr>
                        <w:rFonts w:cs="Times New Roman"/>
                        <w:i/>
                      </w:rPr>
                      <m:t>si</m:t>
                    </m:r>
                    <w:proofErr w:type="spellEnd"/>
                  </m:sub>
                </m:sSub>
              </m:e>
            </m:nary>
          </m:num>
          <m:den>
            <m:sSub>
              <m:sSubPr>
                <m:ctrlPr>
                  <w:rPr>
                    <w:rFonts w:ascii="Cambria Math" w:hAnsi="Cambria Math" w:cs="Times New Roman"/>
                    <w:i/>
                  </w:rPr>
                </m:ctrlPr>
              </m:sSubPr>
              <m:e>
                <m:r>
                  <m:rPr>
                    <m:nor/>
                  </m:rPr>
                  <w:rPr>
                    <w:rFonts w:cs="Times New Roman"/>
                    <w:i/>
                  </w:rPr>
                  <m:t>W</m:t>
                </m:r>
              </m:e>
              <m:sub>
                <m:r>
                  <m:rPr>
                    <m:nor/>
                  </m:rPr>
                  <w:rPr>
                    <w:rFonts w:cs="Times New Roman"/>
                    <w:i/>
                  </w:rPr>
                  <m:t>max</m:t>
                </m:r>
              </m:sub>
            </m:sSub>
          </m:den>
        </m:f>
      </m:oMath>
      <w:r>
        <w:rPr>
          <w:rFonts w:cs="Times New Roman" w:hint="eastAsia"/>
        </w:rPr>
        <w:t xml:space="preserve">                 </w:t>
      </w:r>
      <w:r>
        <w:rPr>
          <w:rFonts w:cs="Times New Roman"/>
        </w:rPr>
        <w:t xml:space="preserve">            </w:t>
      </w:r>
      <w:r>
        <w:rPr>
          <w:rFonts w:cs="Times New Roman" w:hint="eastAsia"/>
        </w:rPr>
        <w:t xml:space="preserve">             </w:t>
      </w:r>
      <w:r>
        <w:rPr>
          <w:rFonts w:cs="Times New Roman" w:hint="eastAsia"/>
          <w:iCs/>
        </w:rPr>
        <w:t>（</w:t>
      </w:r>
      <w:r>
        <w:rPr>
          <w:rFonts w:cs="Times New Roman" w:hint="eastAsia"/>
          <w:iCs/>
        </w:rPr>
        <w:t>2</w:t>
      </w:r>
      <w:r>
        <w:rPr>
          <w:rFonts w:cs="Times New Roman" w:hint="eastAsia"/>
          <w:iCs/>
        </w:rPr>
        <w:t>）</w:t>
      </w:r>
    </w:p>
    <w:p w14:paraId="0847A150" w14:textId="77777777" w:rsidR="007E5034" w:rsidRDefault="007E5034" w:rsidP="007E5034">
      <w:pPr>
        <w:ind w:firstLine="480"/>
        <w:rPr>
          <w:rFonts w:cs="Times New Roman"/>
          <w:iCs/>
        </w:rPr>
      </w:pPr>
      <w:r>
        <w:rPr>
          <w:rFonts w:cs="Times New Roman" w:hint="eastAsia"/>
          <w:iCs/>
        </w:rPr>
        <w:t>式中：</w:t>
      </w:r>
    </w:p>
    <w:p w14:paraId="3F042572" w14:textId="77777777" w:rsidR="007E5034" w:rsidRDefault="007E5034" w:rsidP="007E5034">
      <w:pPr>
        <w:ind w:firstLine="480"/>
        <w:rPr>
          <w:rFonts w:cs="Times New Roman"/>
        </w:rPr>
      </w:pPr>
      <m:oMath>
        <m:sSub>
          <m:sSubPr>
            <m:ctrlPr>
              <w:rPr>
                <w:rFonts w:ascii="Cambria Math" w:hAnsi="Cambria Math" w:cs="Times New Roman"/>
                <w:i/>
              </w:rPr>
            </m:ctrlPr>
          </m:sSubPr>
          <m:e>
            <m:r>
              <m:rPr>
                <m:nor/>
              </m:rPr>
              <w:rPr>
                <w:rFonts w:cs="Times New Roman"/>
                <w:i/>
              </w:rPr>
              <m:t>W</m:t>
            </m:r>
          </m:e>
          <m:sub>
            <w:proofErr w:type="spellStart"/>
            <m:r>
              <m:rPr>
                <m:nor/>
              </m:rPr>
              <w:rPr>
                <w:rFonts w:cs="Times New Roman"/>
                <w:i/>
              </w:rPr>
              <m:t>si</m:t>
            </m:r>
            <w:proofErr w:type="spellEnd"/>
          </m:sub>
        </m:sSub>
      </m:oMath>
      <w:r>
        <w:rPr>
          <w:rFonts w:cs="Times New Roman"/>
        </w:rPr>
        <w:t>——</w:t>
      </w:r>
      <w:r>
        <w:rPr>
          <w:rFonts w:cs="Times New Roman" w:hint="eastAsia"/>
        </w:rPr>
        <w:t>微电网中第</w:t>
      </w:r>
      <w:proofErr w:type="spellStart"/>
      <m:oMath>
        <m:r>
          <m:rPr>
            <m:nor/>
          </m:rPr>
          <w:rPr>
            <w:rFonts w:cs="Times New Roman"/>
            <w:i/>
            <w:iCs/>
          </w:rPr>
          <m:t>i</m:t>
        </m:r>
      </m:oMath>
      <w:proofErr w:type="spellEnd"/>
      <w:proofErr w:type="gramStart"/>
      <w:r>
        <w:rPr>
          <w:rFonts w:cs="Times New Roman" w:hint="eastAsia"/>
        </w:rPr>
        <w:t>个</w:t>
      </w:r>
      <w:proofErr w:type="gramEnd"/>
      <w:r>
        <w:rPr>
          <w:rFonts w:cs="Times New Roman" w:hint="eastAsia"/>
        </w:rPr>
        <w:t>储能的额定容量，</w:t>
      </w:r>
      <w:r>
        <w:rPr>
          <w:rFonts w:cs="Times New Roman" w:hint="eastAsia"/>
        </w:rPr>
        <w:t>kWh</w:t>
      </w:r>
      <w:r>
        <w:rPr>
          <w:rFonts w:cs="Times New Roman" w:hint="eastAsia"/>
        </w:rPr>
        <w:t>；</w:t>
      </w:r>
    </w:p>
    <w:p w14:paraId="1D1D66C6" w14:textId="77777777" w:rsidR="007E5034" w:rsidRDefault="007E5034" w:rsidP="007E5034">
      <w:pPr>
        <w:ind w:firstLine="480"/>
        <w:rPr>
          <w:rFonts w:cs="Times New Roman"/>
        </w:rPr>
      </w:pPr>
      <m:oMath>
        <m:sSub>
          <m:sSubPr>
            <m:ctrlPr>
              <w:rPr>
                <w:rFonts w:ascii="Cambria Math" w:hAnsi="Cambria Math" w:cs="Times New Roman"/>
                <w:i/>
              </w:rPr>
            </m:ctrlPr>
          </m:sSubPr>
          <m:e>
            <m:r>
              <m:rPr>
                <m:nor/>
              </m:rPr>
              <w:rPr>
                <w:rFonts w:cs="Times New Roman"/>
                <w:i/>
              </w:rPr>
              <m:t>W</m:t>
            </m:r>
          </m:e>
          <m:sub>
            <m:r>
              <m:rPr>
                <m:nor/>
              </m:rPr>
              <w:rPr>
                <w:rFonts w:cs="Times New Roman"/>
                <w:i/>
              </w:rPr>
              <m:t>max</m:t>
            </m:r>
          </m:sub>
        </m:sSub>
      </m:oMath>
      <w:r>
        <w:rPr>
          <w:rFonts w:cs="Times New Roman"/>
        </w:rPr>
        <w:t>——</w:t>
      </w:r>
      <w:r>
        <w:rPr>
          <w:rFonts w:cs="Times New Roman" w:hint="eastAsia"/>
        </w:rPr>
        <w:t>微电网最大用电负荷持续</w:t>
      </w:r>
      <w:r>
        <w:rPr>
          <w:rFonts w:cs="Times New Roman" w:hint="eastAsia"/>
        </w:rPr>
        <w:t>1</w:t>
      </w:r>
      <w:r>
        <w:rPr>
          <w:rFonts w:cs="Times New Roman" w:hint="eastAsia"/>
        </w:rPr>
        <w:t>小时消耗电量，</w:t>
      </w:r>
      <w:r>
        <w:rPr>
          <w:rFonts w:cs="Times New Roman" w:hint="eastAsia"/>
        </w:rPr>
        <w:t>kWh</w:t>
      </w:r>
      <w:r>
        <w:rPr>
          <w:rFonts w:cs="Times New Roman" w:hint="eastAsia"/>
        </w:rPr>
        <w:t>。</w:t>
      </w:r>
    </w:p>
    <w:p w14:paraId="0BFC840A"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交换功率峰谷差率</w:t>
      </w:r>
    </w:p>
    <w:p w14:paraId="71621965" w14:textId="77777777" w:rsidR="007E5034" w:rsidRDefault="007E5034" w:rsidP="007E5034">
      <w:pPr>
        <w:ind w:firstLine="480"/>
        <w:rPr>
          <w:rFonts w:cs="Times New Roman"/>
        </w:rPr>
      </w:pPr>
      <w:r>
        <w:rPr>
          <w:rFonts w:cs="Times New Roman" w:hint="eastAsia"/>
        </w:rPr>
        <w:t>指标释义：微电网与外部电网年度日交换功率的最大峰谷差与年度最大用电负荷之比，该指标反映微电网与外部电网交互的功率波动情况。</w:t>
      </w:r>
    </w:p>
    <w:p w14:paraId="5B752682" w14:textId="77777777" w:rsidR="007E5034" w:rsidRDefault="007E5034" w:rsidP="007E5034">
      <w:pPr>
        <w:ind w:firstLine="480"/>
        <w:rPr>
          <w:rFonts w:cs="Times New Roman"/>
        </w:rPr>
      </w:pPr>
      <w:r>
        <w:rPr>
          <w:rFonts w:cs="Times New Roman" w:hint="eastAsia"/>
        </w:rPr>
        <w:t>计算方法：交换功率峰谷差率</w:t>
      </w:r>
      <w:r>
        <w:rPr>
          <w:rFonts w:cs="Times New Roman" w:hint="eastAsia"/>
        </w:rPr>
        <w:t>=</w:t>
      </w:r>
      <w:r>
        <w:rPr>
          <w:rFonts w:cs="Times New Roman" w:hint="eastAsia"/>
        </w:rPr>
        <w:t>（典型日微电网向外部电网反送的最大功率</w:t>
      </w:r>
      <w:r>
        <w:rPr>
          <w:rFonts w:cs="Times New Roman" w:hint="eastAsia"/>
        </w:rPr>
        <w:t>-</w:t>
      </w:r>
      <w:r>
        <w:rPr>
          <w:rFonts w:cs="Times New Roman" w:hint="eastAsia"/>
        </w:rPr>
        <w:t>典型日微电网向外部电网吸收的最大功率）</w:t>
      </w:r>
      <w:r>
        <w:rPr>
          <w:rFonts w:cs="Times New Roman" w:hint="eastAsia"/>
        </w:rPr>
        <w:t>/</w:t>
      </w:r>
      <w:r>
        <w:rPr>
          <w:rFonts w:cs="Times New Roman" w:hint="eastAsia"/>
        </w:rPr>
        <w:t>微电网典型日最大负荷（选同一天，外送为正，受入为负）</w:t>
      </w:r>
    </w:p>
    <w:p w14:paraId="38533BF1" w14:textId="77777777" w:rsidR="007E5034" w:rsidRDefault="007E5034" w:rsidP="007E5034">
      <w:pPr>
        <w:ind w:firstLine="480"/>
        <w:rPr>
          <w:rFonts w:cs="Times New Roman"/>
        </w:rPr>
      </w:pPr>
      <w:r>
        <w:rPr>
          <w:rFonts w:cs="Times New Roman" w:hint="eastAsia"/>
        </w:rPr>
        <w:t>指标属性：正向指标</w:t>
      </w:r>
    </w:p>
    <w:p w14:paraId="6C2F69E9" w14:textId="77777777" w:rsidR="007E5034" w:rsidRDefault="007E5034" w:rsidP="007E5034">
      <w:pPr>
        <w:ind w:firstLine="480"/>
        <w:rPr>
          <w:rFonts w:cs="Times New Roman"/>
        </w:rPr>
      </w:pPr>
      <w:r>
        <w:rPr>
          <w:rFonts w:cs="Times New Roman" w:hint="eastAsia"/>
        </w:rPr>
        <w:t>参考目标值：小于</w:t>
      </w:r>
      <w:r>
        <w:rPr>
          <w:rFonts w:cs="Times New Roman" w:hint="eastAsia"/>
        </w:rPr>
        <w:t>2</w:t>
      </w:r>
    </w:p>
    <w:p w14:paraId="71FEF5EB"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自平衡能力，累计交换电量</w:t>
      </w:r>
    </w:p>
    <w:p w14:paraId="5D2D3653" w14:textId="77777777" w:rsidR="007E5034" w:rsidRDefault="007E5034" w:rsidP="007E5034">
      <w:pPr>
        <w:ind w:firstLine="480"/>
        <w:rPr>
          <w:rFonts w:cs="Times New Roman"/>
        </w:rPr>
      </w:pPr>
      <w:r>
        <w:rPr>
          <w:rFonts w:cs="Times New Roman" w:hint="eastAsia"/>
        </w:rPr>
        <w:t>指标释义：</w:t>
      </w:r>
      <w:r>
        <w:rPr>
          <w:rFonts w:cs="Times New Roman" w:hint="eastAsia"/>
        </w:rPr>
        <w:t>1</w:t>
      </w:r>
      <w:r>
        <w:rPr>
          <w:rFonts w:cs="Times New Roman" w:hint="eastAsia"/>
        </w:rPr>
        <w:t>减去微电网与外部电网的年度交换电量与微电网内负荷年度用电量之比，该指标反映微电网的电量自我平衡能力。</w:t>
      </w:r>
    </w:p>
    <w:p w14:paraId="2A89F508" w14:textId="77777777" w:rsidR="007E5034" w:rsidRDefault="007E5034" w:rsidP="007E5034">
      <w:pPr>
        <w:ind w:firstLine="480"/>
        <w:rPr>
          <w:rFonts w:cs="Times New Roman"/>
        </w:rPr>
      </w:pPr>
      <w:r>
        <w:rPr>
          <w:rFonts w:cs="Times New Roman" w:hint="eastAsia"/>
        </w:rPr>
        <w:t>计算方法：自平衡能力</w:t>
      </w:r>
      <w:r>
        <w:rPr>
          <w:rFonts w:cs="Times New Roman" w:hint="eastAsia"/>
        </w:rPr>
        <w:t>=1-</w:t>
      </w:r>
      <w:r>
        <w:rPr>
          <w:rFonts w:cs="Times New Roman" w:hint="eastAsia"/>
        </w:rPr>
        <w:t>（微电网从外部电网受入的年度电量</w:t>
      </w:r>
      <w:r>
        <w:rPr>
          <w:rFonts w:cs="Times New Roman" w:hint="eastAsia"/>
        </w:rPr>
        <w:t>+</w:t>
      </w:r>
      <w:r>
        <w:rPr>
          <w:rFonts w:cs="Times New Roman" w:hint="eastAsia"/>
        </w:rPr>
        <w:t>微电网向外部电网上送的年度电量）</w:t>
      </w:r>
      <w:r>
        <w:rPr>
          <w:rFonts w:cs="Times New Roman" w:hint="eastAsia"/>
        </w:rPr>
        <w:t>/</w:t>
      </w:r>
      <w:r>
        <w:rPr>
          <w:rFonts w:cs="Times New Roman" w:hint="eastAsia"/>
        </w:rPr>
        <w:t>微电网年用电量</w:t>
      </w:r>
    </w:p>
    <w:p w14:paraId="0989F672" w14:textId="77777777" w:rsidR="007E5034" w:rsidRDefault="007E5034" w:rsidP="007E5034">
      <w:pPr>
        <w:ind w:firstLine="480"/>
        <w:rPr>
          <w:rFonts w:cs="Times New Roman"/>
        </w:rPr>
      </w:pPr>
      <w:r>
        <w:rPr>
          <w:rFonts w:cs="Times New Roman" w:hint="eastAsia"/>
        </w:rPr>
        <w:t>指标属性：正向指标</w:t>
      </w:r>
    </w:p>
    <w:p w14:paraId="0CC03248" w14:textId="77777777" w:rsidR="007E5034" w:rsidRDefault="007E5034" w:rsidP="007E5034">
      <w:pPr>
        <w:ind w:firstLine="480"/>
        <w:rPr>
          <w:rFonts w:cs="Times New Roman"/>
        </w:rPr>
      </w:pPr>
      <w:r>
        <w:rPr>
          <w:rFonts w:cs="Times New Roman" w:hint="eastAsia"/>
        </w:rPr>
        <w:t>参考目标值：大于</w:t>
      </w:r>
      <w:r>
        <w:rPr>
          <w:rFonts w:cs="Times New Roman" w:hint="eastAsia"/>
        </w:rPr>
        <w:t>50%</w:t>
      </w:r>
    </w:p>
    <w:p w14:paraId="4455B6D8"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可再生能源就地消纳率（包含水电、风光）</w:t>
      </w:r>
    </w:p>
    <w:p w14:paraId="27544946" w14:textId="77777777" w:rsidR="007E5034" w:rsidRDefault="007E5034" w:rsidP="007E5034">
      <w:pPr>
        <w:ind w:firstLine="480"/>
        <w:rPr>
          <w:rFonts w:cs="Times New Roman"/>
        </w:rPr>
      </w:pPr>
      <w:r>
        <w:rPr>
          <w:rFonts w:cs="Times New Roman" w:hint="eastAsia"/>
        </w:rPr>
        <w:t>指标释义：可再生能源就地消纳率，用来评价微电网内能源就地消纳的情况，该指标越高说明微电网内电源就地消</w:t>
      </w:r>
      <w:proofErr w:type="gramStart"/>
      <w:r>
        <w:rPr>
          <w:rFonts w:cs="Times New Roman" w:hint="eastAsia"/>
        </w:rPr>
        <w:t>纳程度</w:t>
      </w:r>
      <w:proofErr w:type="gramEnd"/>
      <w:r>
        <w:rPr>
          <w:rFonts w:cs="Times New Roman" w:hint="eastAsia"/>
        </w:rPr>
        <w:t>越高。</w:t>
      </w:r>
    </w:p>
    <w:p w14:paraId="678BBCDF" w14:textId="77777777" w:rsidR="007E5034" w:rsidRDefault="007E5034" w:rsidP="007E5034">
      <w:pPr>
        <w:ind w:firstLine="480"/>
        <w:rPr>
          <w:rFonts w:cs="Times New Roman"/>
        </w:rPr>
      </w:pPr>
      <w:r>
        <w:rPr>
          <w:rFonts w:cs="Times New Roman" w:hint="eastAsia"/>
        </w:rPr>
        <w:lastRenderedPageBreak/>
        <w:t>计算方法：可再生能源就地</w:t>
      </w:r>
      <w:proofErr w:type="gramStart"/>
      <w:r>
        <w:rPr>
          <w:rFonts w:cs="Times New Roman" w:hint="eastAsia"/>
        </w:rPr>
        <w:t>消纳率</w:t>
      </w:r>
      <w:proofErr w:type="gramEnd"/>
      <w:r>
        <w:rPr>
          <w:rFonts w:cs="Times New Roman" w:hint="eastAsia"/>
        </w:rPr>
        <w:t>=</w:t>
      </w:r>
      <w:r>
        <w:rPr>
          <w:rFonts w:cs="Times New Roman" w:hint="eastAsia"/>
        </w:rPr>
        <w:t>微电网能源就地消纳电量</w:t>
      </w:r>
      <w:r>
        <w:rPr>
          <w:rFonts w:cs="Times New Roman" w:hint="eastAsia"/>
        </w:rPr>
        <w:t>/</w:t>
      </w:r>
      <w:r>
        <w:rPr>
          <w:rFonts w:cs="Times New Roman" w:hint="eastAsia"/>
        </w:rPr>
        <w:t>微电网总用电量×</w:t>
      </w:r>
      <w:r>
        <w:rPr>
          <w:rFonts w:cs="Times New Roman" w:hint="eastAsia"/>
        </w:rPr>
        <w:t>100%=</w:t>
      </w:r>
      <w:r>
        <w:rPr>
          <w:rFonts w:cs="Times New Roman" w:hint="eastAsia"/>
        </w:rPr>
        <w:t>（微电网能源总发电量</w:t>
      </w:r>
      <w:r>
        <w:rPr>
          <w:rFonts w:cs="Times New Roman" w:hint="eastAsia"/>
        </w:rPr>
        <w:t>-</w:t>
      </w:r>
      <w:r>
        <w:rPr>
          <w:rFonts w:cs="Times New Roman" w:hint="eastAsia"/>
        </w:rPr>
        <w:t>电网外送电量）</w:t>
      </w:r>
      <w:r>
        <w:rPr>
          <w:rFonts w:cs="Times New Roman" w:hint="eastAsia"/>
        </w:rPr>
        <w:t>/</w:t>
      </w:r>
      <w:r>
        <w:rPr>
          <w:rFonts w:cs="Times New Roman" w:hint="eastAsia"/>
        </w:rPr>
        <w:t>微电网总用电量×</w:t>
      </w:r>
      <w:r>
        <w:rPr>
          <w:rFonts w:cs="Times New Roman" w:hint="eastAsia"/>
        </w:rPr>
        <w:t>100%</w:t>
      </w:r>
    </w:p>
    <w:p w14:paraId="76D9AAEC" w14:textId="77777777" w:rsidR="007E5034" w:rsidRDefault="007E5034" w:rsidP="007E5034">
      <w:pPr>
        <w:ind w:firstLine="480"/>
        <w:rPr>
          <w:rFonts w:cs="Times New Roman"/>
        </w:rPr>
      </w:pPr>
      <w:r>
        <w:rPr>
          <w:rFonts w:cs="Times New Roman" w:hint="eastAsia"/>
        </w:rPr>
        <w:t>指标属性：正向指标</w:t>
      </w:r>
    </w:p>
    <w:p w14:paraId="177F1FDD" w14:textId="77777777" w:rsidR="007E5034" w:rsidRDefault="007E5034" w:rsidP="007E5034">
      <w:pPr>
        <w:ind w:firstLine="480"/>
        <w:rPr>
          <w:rFonts w:cs="Times New Roman"/>
        </w:rPr>
      </w:pPr>
      <w:r>
        <w:rPr>
          <w:rFonts w:cs="Times New Roman" w:hint="eastAsia"/>
        </w:rPr>
        <w:t>参考目标值：大于</w:t>
      </w:r>
      <w:r>
        <w:rPr>
          <w:rFonts w:cs="Times New Roman" w:hint="eastAsia"/>
        </w:rPr>
        <w:t>80%</w:t>
      </w:r>
    </w:p>
    <w:p w14:paraId="02F62C24"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储能年等效全充全放次数</w:t>
      </w:r>
    </w:p>
    <w:p w14:paraId="3908262A" w14:textId="77777777" w:rsidR="007E5034" w:rsidRDefault="007E5034" w:rsidP="007E5034">
      <w:pPr>
        <w:ind w:firstLine="480"/>
        <w:rPr>
          <w:rFonts w:cs="Times New Roman"/>
        </w:rPr>
      </w:pPr>
      <w:r>
        <w:rPr>
          <w:rFonts w:cs="Times New Roman" w:hint="eastAsia"/>
        </w:rPr>
        <w:t>指标释义：储能年等效全充全放次数</w:t>
      </w:r>
      <w:r>
        <w:rPr>
          <w:rFonts w:cs="Times New Roman" w:hint="eastAsia"/>
        </w:rPr>
        <w:t>,</w:t>
      </w:r>
      <w:r>
        <w:rPr>
          <w:rFonts w:cs="Times New Roman" w:hint="eastAsia"/>
        </w:rPr>
        <w:t>该指标可用来评价微电网储能容量配置或运行策略的合理性。</w:t>
      </w:r>
    </w:p>
    <w:p w14:paraId="08ACDEDF" w14:textId="77777777" w:rsidR="007E5034" w:rsidRDefault="007E5034" w:rsidP="007E5034">
      <w:pPr>
        <w:ind w:firstLine="480"/>
        <w:rPr>
          <w:rFonts w:cs="Times New Roman"/>
        </w:rPr>
      </w:pPr>
      <w:r>
        <w:rPr>
          <w:rFonts w:cs="Times New Roman" w:hint="eastAsia"/>
        </w:rPr>
        <w:t>计算方法：储能年等效全充全放次数</w:t>
      </w:r>
      <w:r>
        <w:rPr>
          <w:rFonts w:cs="Times New Roman" w:hint="eastAsia"/>
        </w:rPr>
        <w:t>=</w:t>
      </w:r>
      <w:r>
        <w:rPr>
          <w:rFonts w:cs="Times New Roman" w:hint="eastAsia"/>
        </w:rPr>
        <w:t>平均年储能系统的放电量累计值</w:t>
      </w:r>
      <w:r>
        <w:rPr>
          <w:rFonts w:cs="Times New Roman" w:hint="eastAsia"/>
        </w:rPr>
        <w:t>/</w:t>
      </w:r>
      <w:r>
        <w:rPr>
          <w:rFonts w:cs="Times New Roman" w:hint="eastAsia"/>
        </w:rPr>
        <w:t>储能系统最大储存容量</w:t>
      </w:r>
    </w:p>
    <w:p w14:paraId="6AEED1AC" w14:textId="77777777" w:rsidR="007E5034" w:rsidRDefault="007E5034" w:rsidP="007E5034">
      <w:pPr>
        <w:ind w:firstLine="480"/>
        <w:rPr>
          <w:rFonts w:cs="Times New Roman"/>
        </w:rPr>
      </w:pPr>
      <w:r>
        <w:rPr>
          <w:rFonts w:cs="Times New Roman" w:hint="eastAsia"/>
        </w:rPr>
        <w:t>指标属性：正向指标</w:t>
      </w:r>
    </w:p>
    <w:p w14:paraId="66EEAA52" w14:textId="77777777" w:rsidR="007E5034" w:rsidRDefault="007E5034" w:rsidP="007E5034">
      <w:pPr>
        <w:ind w:firstLine="480"/>
        <w:rPr>
          <w:rFonts w:cs="Times New Roman"/>
        </w:rPr>
      </w:pPr>
      <w:r>
        <w:rPr>
          <w:rFonts w:cs="Times New Roman" w:hint="eastAsia"/>
        </w:rPr>
        <w:t>参考目标值：河南电网独立储能项目电力调度管理指导意见：年调用完全充放电次数原则上不低于</w:t>
      </w:r>
      <w:r>
        <w:rPr>
          <w:rFonts w:cs="Times New Roman" w:hint="eastAsia"/>
        </w:rPr>
        <w:t>350</w:t>
      </w:r>
      <w:r>
        <w:rPr>
          <w:rFonts w:cs="Times New Roman" w:hint="eastAsia"/>
        </w:rPr>
        <w:t>次。</w:t>
      </w:r>
    </w:p>
    <w:p w14:paraId="6D08E8EC"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可再生能源发电利用率</w:t>
      </w:r>
    </w:p>
    <w:p w14:paraId="09DC9D79" w14:textId="77777777" w:rsidR="007E5034" w:rsidRDefault="007E5034" w:rsidP="007E5034">
      <w:pPr>
        <w:ind w:firstLine="480"/>
        <w:rPr>
          <w:rFonts w:cs="Times New Roman"/>
        </w:rPr>
      </w:pPr>
      <w:r>
        <w:rPr>
          <w:rFonts w:cs="Times New Roman" w:hint="eastAsia"/>
        </w:rPr>
        <w:t>指标释义：可再生能源发电利用率指可再生能源利用量占能源消耗总量的比率。</w:t>
      </w:r>
    </w:p>
    <w:p w14:paraId="6F91E89F" w14:textId="77777777" w:rsidR="007E5034" w:rsidRDefault="007E5034" w:rsidP="007E5034">
      <w:pPr>
        <w:ind w:firstLine="480"/>
        <w:rPr>
          <w:rFonts w:cs="Times New Roman"/>
        </w:rPr>
      </w:pPr>
      <w:r>
        <w:rPr>
          <w:rFonts w:cs="Times New Roman" w:hint="eastAsia"/>
        </w:rPr>
        <w:t>计算方法：可再生能源发电利用率</w:t>
      </w:r>
      <w:r>
        <w:rPr>
          <w:rFonts w:cs="Times New Roman" w:hint="eastAsia"/>
        </w:rPr>
        <w:t>=</w:t>
      </w:r>
      <w:r>
        <w:rPr>
          <w:rFonts w:cs="Times New Roman" w:hint="eastAsia"/>
        </w:rPr>
        <w:t>微电网中考虑弃风、</w:t>
      </w:r>
      <w:proofErr w:type="gramStart"/>
      <w:r>
        <w:rPr>
          <w:rFonts w:cs="Times New Roman" w:hint="eastAsia"/>
        </w:rPr>
        <w:t>弃光等</w:t>
      </w:r>
      <w:proofErr w:type="gramEnd"/>
      <w:r>
        <w:rPr>
          <w:rFonts w:cs="Times New Roman" w:hint="eastAsia"/>
        </w:rPr>
        <w:t>因素后可再生能源的年发电量</w:t>
      </w:r>
      <w:r>
        <w:rPr>
          <w:rFonts w:cs="Times New Roman" w:hint="eastAsia"/>
        </w:rPr>
        <w:t>/</w:t>
      </w:r>
      <w:r>
        <w:rPr>
          <w:rFonts w:cs="Times New Roman" w:hint="eastAsia"/>
        </w:rPr>
        <w:t>可再生能源发电系统的理论发电量×</w:t>
      </w:r>
      <w:r>
        <w:rPr>
          <w:rFonts w:cs="Times New Roman" w:hint="eastAsia"/>
        </w:rPr>
        <w:t>100%</w:t>
      </w:r>
    </w:p>
    <w:p w14:paraId="4B960868" w14:textId="77777777" w:rsidR="007E5034" w:rsidRDefault="007E5034" w:rsidP="007E5034">
      <w:pPr>
        <w:ind w:firstLine="480"/>
        <w:rPr>
          <w:rFonts w:cs="Times New Roman"/>
        </w:rPr>
      </w:pPr>
      <w:r>
        <w:rPr>
          <w:rFonts w:cs="Times New Roman" w:hint="eastAsia"/>
        </w:rPr>
        <w:t>指标属性：正向指标</w:t>
      </w:r>
    </w:p>
    <w:p w14:paraId="55CD664E" w14:textId="77777777" w:rsidR="007E5034" w:rsidRDefault="007E5034" w:rsidP="007E5034">
      <w:pPr>
        <w:ind w:firstLine="480"/>
        <w:rPr>
          <w:rFonts w:cs="Times New Roman"/>
        </w:rPr>
      </w:pPr>
      <w:r>
        <w:rPr>
          <w:rFonts w:cs="Times New Roman" w:hint="eastAsia"/>
        </w:rPr>
        <w:t>参考目标值：大于</w:t>
      </w:r>
      <w:r>
        <w:rPr>
          <w:rFonts w:cs="Times New Roman" w:hint="eastAsia"/>
        </w:rPr>
        <w:t>95%</w:t>
      </w:r>
    </w:p>
    <w:p w14:paraId="43DAA716"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新型储能利用率</w:t>
      </w:r>
    </w:p>
    <w:p w14:paraId="3648CE49" w14:textId="77777777" w:rsidR="007E5034" w:rsidRDefault="007E5034" w:rsidP="007E5034">
      <w:pPr>
        <w:ind w:firstLine="480"/>
        <w:rPr>
          <w:rFonts w:cs="Times New Roman"/>
        </w:rPr>
      </w:pPr>
      <w:r>
        <w:rPr>
          <w:rFonts w:cs="Times New Roman" w:hint="eastAsia"/>
        </w:rPr>
        <w:t>储能年利用小时数</w:t>
      </w:r>
      <w:r>
        <w:rPr>
          <w:rFonts w:cs="Times New Roman" w:hint="eastAsia"/>
        </w:rPr>
        <w:t>=</w:t>
      </w:r>
      <w:r>
        <w:rPr>
          <w:rFonts w:cs="Times New Roman" w:hint="eastAsia"/>
        </w:rPr>
        <w:t>（年充电量</w:t>
      </w:r>
      <w:r>
        <w:rPr>
          <w:rFonts w:cs="Times New Roman" w:hint="eastAsia"/>
        </w:rPr>
        <w:t>+</w:t>
      </w:r>
      <w:r>
        <w:rPr>
          <w:rFonts w:cs="Times New Roman" w:hint="eastAsia"/>
        </w:rPr>
        <w:t>年放电量）</w:t>
      </w:r>
      <w:r>
        <w:rPr>
          <w:rFonts w:cs="Times New Roman" w:hint="eastAsia"/>
        </w:rPr>
        <w:t>/</w:t>
      </w:r>
      <w:r>
        <w:rPr>
          <w:rFonts w:cs="Times New Roman" w:hint="eastAsia"/>
        </w:rPr>
        <w:t>储能功率</w:t>
      </w:r>
    </w:p>
    <w:p w14:paraId="221E9173" w14:textId="77777777" w:rsidR="007E5034" w:rsidRDefault="007E5034" w:rsidP="007E5034">
      <w:pPr>
        <w:ind w:firstLine="480"/>
        <w:rPr>
          <w:rFonts w:cs="Times New Roman"/>
        </w:rPr>
      </w:pPr>
      <w:r>
        <w:rPr>
          <w:rFonts w:cs="Times New Roman" w:hint="eastAsia"/>
        </w:rPr>
        <w:t>计算方法：新型储能利用率</w:t>
      </w:r>
      <w:r>
        <w:rPr>
          <w:rFonts w:cs="Times New Roman" w:hint="eastAsia"/>
        </w:rPr>
        <w:t>=</w:t>
      </w:r>
      <w:r>
        <w:rPr>
          <w:rFonts w:cs="Times New Roman" w:hint="eastAsia"/>
        </w:rPr>
        <w:t>（微电网中新型储能年利用小时数）</w:t>
      </w:r>
      <w:r>
        <w:rPr>
          <w:rFonts w:cs="Times New Roman" w:hint="eastAsia"/>
        </w:rPr>
        <w:t>/8760</w:t>
      </w:r>
      <w:r>
        <w:rPr>
          <w:rFonts w:cs="Times New Roman" w:hint="eastAsia"/>
        </w:rPr>
        <w:t>×</w:t>
      </w:r>
      <w:r>
        <w:rPr>
          <w:rFonts w:cs="Times New Roman" w:hint="eastAsia"/>
        </w:rPr>
        <w:t>100%</w:t>
      </w:r>
    </w:p>
    <w:p w14:paraId="09BEB4D5" w14:textId="77777777" w:rsidR="007E5034" w:rsidRDefault="007E5034" w:rsidP="007E5034">
      <w:pPr>
        <w:ind w:firstLine="480"/>
        <w:rPr>
          <w:rFonts w:cs="Times New Roman"/>
        </w:rPr>
      </w:pPr>
      <w:r>
        <w:rPr>
          <w:rFonts w:cs="Times New Roman" w:hint="eastAsia"/>
        </w:rPr>
        <w:t>指标属性：正向指标</w:t>
      </w:r>
    </w:p>
    <w:p w14:paraId="742C10DD" w14:textId="77777777" w:rsidR="007E5034" w:rsidRDefault="007E5034" w:rsidP="007E5034">
      <w:pPr>
        <w:ind w:firstLine="480"/>
        <w:rPr>
          <w:rFonts w:cs="Times New Roman"/>
        </w:rPr>
      </w:pPr>
      <w:r>
        <w:rPr>
          <w:rFonts w:cs="Times New Roman" w:hint="eastAsia"/>
        </w:rPr>
        <w:t>参考目标值：大于等于</w:t>
      </w:r>
      <w:r>
        <w:rPr>
          <w:rFonts w:cs="Times New Roman" w:hint="eastAsia"/>
        </w:rPr>
        <w:t>15%</w:t>
      </w:r>
      <w:r>
        <w:rPr>
          <w:rFonts w:cs="Times New Roman" w:hint="eastAsia"/>
        </w:rPr>
        <w:t>（差不多也是一充一放的，）</w:t>
      </w:r>
    </w:p>
    <w:p w14:paraId="598FE50C"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能源自给自足率</w:t>
      </w:r>
    </w:p>
    <w:p w14:paraId="0052D375" w14:textId="77777777" w:rsidR="007E5034" w:rsidRDefault="007E5034" w:rsidP="007E5034">
      <w:pPr>
        <w:ind w:firstLine="480"/>
        <w:rPr>
          <w:rFonts w:cs="Times New Roman"/>
        </w:rPr>
      </w:pPr>
      <w:r>
        <w:rPr>
          <w:rFonts w:cs="Times New Roman" w:hint="eastAsia"/>
        </w:rPr>
        <w:t>指标释义：能源自给自足率，用来评价微电网内能源满足用电需求的水平，该指标越高说明微电网内能源满足用电需求的程度越高。</w:t>
      </w:r>
    </w:p>
    <w:p w14:paraId="0486D7AB" w14:textId="77777777" w:rsidR="007E5034" w:rsidRDefault="007E5034" w:rsidP="007E5034">
      <w:pPr>
        <w:ind w:firstLine="480"/>
        <w:rPr>
          <w:rFonts w:cs="Times New Roman"/>
        </w:rPr>
      </w:pPr>
      <w:r>
        <w:rPr>
          <w:rFonts w:cs="Times New Roman" w:hint="eastAsia"/>
        </w:rPr>
        <w:lastRenderedPageBreak/>
        <w:t>计算方法：能源自给自足率</w:t>
      </w:r>
      <w:r>
        <w:rPr>
          <w:rFonts w:cs="Times New Roman" w:hint="eastAsia"/>
        </w:rPr>
        <w:t>=</w:t>
      </w:r>
      <w:r>
        <w:rPr>
          <w:rFonts w:cs="Times New Roman" w:hint="eastAsia"/>
        </w:rPr>
        <w:t>微电网能源供电电量</w:t>
      </w:r>
      <w:r>
        <w:rPr>
          <w:rFonts w:cs="Times New Roman" w:hint="eastAsia"/>
        </w:rPr>
        <w:t>/</w:t>
      </w:r>
      <w:r>
        <w:rPr>
          <w:rFonts w:cs="Times New Roman" w:hint="eastAsia"/>
        </w:rPr>
        <w:t>全社会用电量×</w:t>
      </w:r>
      <w:r>
        <w:rPr>
          <w:rFonts w:cs="Times New Roman" w:hint="eastAsia"/>
        </w:rPr>
        <w:t>100%=</w:t>
      </w:r>
      <w:r>
        <w:rPr>
          <w:rFonts w:cs="Times New Roman" w:hint="eastAsia"/>
        </w:rPr>
        <w:t>（全社会用电量</w:t>
      </w:r>
      <w:r>
        <w:rPr>
          <w:rFonts w:cs="Times New Roman" w:hint="eastAsia"/>
        </w:rPr>
        <w:t>-</w:t>
      </w:r>
      <w:r>
        <w:rPr>
          <w:rFonts w:cs="Times New Roman" w:hint="eastAsia"/>
        </w:rPr>
        <w:t>外部电网受入供电电量）</w:t>
      </w:r>
      <w:r>
        <w:rPr>
          <w:rFonts w:cs="Times New Roman" w:hint="eastAsia"/>
        </w:rPr>
        <w:t>/</w:t>
      </w:r>
      <w:r>
        <w:rPr>
          <w:rFonts w:cs="Times New Roman" w:hint="eastAsia"/>
        </w:rPr>
        <w:t>全社会用电量×</w:t>
      </w:r>
      <w:r>
        <w:rPr>
          <w:rFonts w:cs="Times New Roman" w:hint="eastAsia"/>
        </w:rPr>
        <w:t>100%</w:t>
      </w:r>
    </w:p>
    <w:p w14:paraId="440C7C63" w14:textId="77777777" w:rsidR="007E5034" w:rsidRDefault="007E5034" w:rsidP="007E5034">
      <w:pPr>
        <w:ind w:firstLine="480"/>
        <w:rPr>
          <w:rFonts w:cs="Times New Roman"/>
        </w:rPr>
      </w:pPr>
      <w:r>
        <w:rPr>
          <w:rFonts w:cs="Times New Roman" w:hint="eastAsia"/>
        </w:rPr>
        <w:t>指标属性：正向指标</w:t>
      </w:r>
    </w:p>
    <w:p w14:paraId="2E0CABD5" w14:textId="77777777" w:rsidR="007E5034" w:rsidRDefault="007E5034" w:rsidP="007E5034">
      <w:pPr>
        <w:ind w:firstLine="480"/>
        <w:rPr>
          <w:rFonts w:cs="Times New Roman"/>
        </w:rPr>
      </w:pPr>
      <w:r>
        <w:rPr>
          <w:rFonts w:cs="Times New Roman" w:hint="eastAsia"/>
        </w:rPr>
        <w:t>参考目标值：</w:t>
      </w:r>
      <w:r>
        <w:rPr>
          <w:rFonts w:cs="Times New Roman" w:hint="eastAsia"/>
        </w:rPr>
        <w:t>80%</w:t>
      </w:r>
    </w:p>
    <w:p w14:paraId="3728D11D" w14:textId="77777777" w:rsidR="007E5034" w:rsidRDefault="007E5034" w:rsidP="007E5034">
      <w:pPr>
        <w:keepNext/>
        <w:keepLines/>
        <w:numPr>
          <w:ilvl w:val="2"/>
          <w:numId w:val="1"/>
        </w:numPr>
        <w:ind w:left="0" w:firstLineChars="0" w:firstLine="0"/>
        <w:outlineLvl w:val="2"/>
        <w:rPr>
          <w:rFonts w:cs="Times New Roman"/>
          <w:sz w:val="28"/>
          <w:szCs w:val="24"/>
        </w:rPr>
      </w:pPr>
      <w:bookmarkStart w:id="1" w:name="_Toc189819509"/>
      <w:r>
        <w:rPr>
          <w:rFonts w:cs="Times New Roman" w:hint="eastAsia"/>
          <w:sz w:val="28"/>
          <w:szCs w:val="24"/>
        </w:rPr>
        <w:t>微电网经济评价</w:t>
      </w:r>
      <w:bookmarkEnd w:id="1"/>
    </w:p>
    <w:p w14:paraId="3F94EE05" w14:textId="308F60F3" w:rsidR="00576D31" w:rsidRDefault="00576D31" w:rsidP="00576D31">
      <w:pPr>
        <w:ind w:firstLine="480"/>
      </w:pPr>
      <w:r>
        <w:rPr>
          <w:rFonts w:hint="eastAsia"/>
        </w:rPr>
        <w:t>参考</w:t>
      </w:r>
      <w:r w:rsidRPr="00576D31">
        <w:t>oT_Result_EvaluationsEco_sSEP.csv</w:t>
      </w:r>
      <w:r>
        <w:rPr>
          <w:rFonts w:hint="eastAsia"/>
        </w:rPr>
        <w:t>结果</w:t>
      </w:r>
    </w:p>
    <w:p w14:paraId="33EB0AFF" w14:textId="77777777" w:rsidR="007E5034" w:rsidRDefault="007E5034" w:rsidP="007E5034">
      <w:pPr>
        <w:ind w:firstLine="480"/>
      </w:pPr>
      <w:r>
        <w:rPr>
          <w:rFonts w:hint="eastAsia"/>
        </w:rPr>
        <w:t>微电网经济评价需计算初期投资及年运营成本。然后，根据生产模拟计算结果预测年收入，并计算项目现金流量，分析收支变化趋势。最后，计算各项经济性指标，如净现值、内部收益率和投资回收期，根据经济性分析结果评估投资，或进一步优化方案。</w:t>
      </w:r>
    </w:p>
    <w:p w14:paraId="5B119AB9"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经济效益</w:t>
      </w:r>
    </w:p>
    <w:p w14:paraId="4D698CFD" w14:textId="77777777" w:rsidR="007E5034" w:rsidRDefault="007E5034" w:rsidP="007E5034">
      <w:pPr>
        <w:ind w:firstLine="480"/>
        <w:rPr>
          <w:rFonts w:cs="Times New Roman"/>
        </w:rPr>
      </w:pPr>
      <w:r>
        <w:rPr>
          <w:rFonts w:cs="Times New Roman" w:hint="eastAsia"/>
        </w:rPr>
        <w:t>减少弃电成本，微</w:t>
      </w:r>
      <w:proofErr w:type="gramStart"/>
      <w:r>
        <w:rPr>
          <w:rFonts w:cs="Times New Roman" w:hint="eastAsia"/>
        </w:rPr>
        <w:t>电网所消纳</w:t>
      </w:r>
      <w:proofErr w:type="gramEnd"/>
      <w:r>
        <w:rPr>
          <w:rFonts w:cs="Times New Roman" w:hint="eastAsia"/>
        </w:rPr>
        <w:t>的新能源出力进而减小的弃电量。</w:t>
      </w:r>
    </w:p>
    <w:p w14:paraId="6552A152" w14:textId="77777777" w:rsidR="007E5034" w:rsidRDefault="007E5034" w:rsidP="007E5034">
      <w:pPr>
        <w:ind w:firstLine="480"/>
        <w:rPr>
          <w:rFonts w:cs="Times New Roman"/>
        </w:rPr>
      </w:pPr>
      <w:r>
        <w:rPr>
          <w:rFonts w:cs="Times New Roman" w:hint="eastAsia"/>
        </w:rPr>
        <w:t>减少电网投资，通过微电网建设能够减少的大电网延伸投资成本。</w:t>
      </w:r>
    </w:p>
    <w:p w14:paraId="2E03B7B5" w14:textId="77777777" w:rsidR="007E5034" w:rsidRDefault="007E5034" w:rsidP="007E5034">
      <w:pPr>
        <w:ind w:firstLine="480"/>
        <w:rPr>
          <w:rFonts w:cs="Times New Roman"/>
        </w:rPr>
      </w:pPr>
      <w:r>
        <w:rPr>
          <w:rFonts w:cs="Times New Roman" w:hint="eastAsia"/>
        </w:rPr>
        <w:t>新能源发电收益，通过分布式电源产生的电能销售收入。</w:t>
      </w:r>
    </w:p>
    <w:p w14:paraId="5FAB6A53"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净现值</w:t>
      </w:r>
    </w:p>
    <w:p w14:paraId="4E1AEE9C" w14:textId="77777777" w:rsidR="007E5034" w:rsidRDefault="007E5034" w:rsidP="007E5034">
      <w:pPr>
        <w:ind w:firstLine="480"/>
        <w:rPr>
          <w:rFonts w:cs="Times New Roman"/>
        </w:rPr>
      </w:pPr>
      <w:r>
        <w:rPr>
          <w:rFonts w:cs="Times New Roman" w:hint="eastAsia"/>
        </w:rPr>
        <w:t>净现值</w:t>
      </w:r>
      <w:r>
        <w:rPr>
          <w:rFonts w:cs="Times New Roman" w:hint="eastAsia"/>
        </w:rPr>
        <w:t>(</w:t>
      </w:r>
      <w:r>
        <w:rPr>
          <w:rFonts w:cs="Times New Roman"/>
        </w:rPr>
        <w:t>Net Present Value, NPV)</w:t>
      </w:r>
      <w:r>
        <w:rPr>
          <w:rFonts w:cs="Times New Roman" w:hint="eastAsia"/>
        </w:rPr>
        <w:t>用折现率将微电网规划周期内各年的净效益（收益与支出之差）折算到建设初期的现值的</w:t>
      </w:r>
      <w:proofErr w:type="gramStart"/>
      <w:r>
        <w:rPr>
          <w:rFonts w:cs="Times New Roman" w:hint="eastAsia"/>
        </w:rPr>
        <w:t>和</w:t>
      </w:r>
      <w:proofErr w:type="gramEnd"/>
      <w:r>
        <w:rPr>
          <w:rFonts w:cs="Times New Roman" w:hint="eastAsia"/>
        </w:rPr>
        <w:t>。即</w:t>
      </w:r>
      <w:r>
        <w:rPr>
          <w:rFonts w:ascii="Helvetica" w:hAnsi="Helvetica" w:cs="Helvetica"/>
          <w:sz w:val="23"/>
          <w:szCs w:val="23"/>
          <w:shd w:val="clear" w:color="auto" w:fill="FFFFFF"/>
        </w:rPr>
        <w:t>把未来期望收入的钱换算成现在的钱</w:t>
      </w:r>
      <w:r>
        <w:rPr>
          <w:rFonts w:ascii="Helvetica" w:hAnsi="Helvetica" w:cs="Helvetica" w:hint="eastAsia"/>
          <w:sz w:val="23"/>
          <w:szCs w:val="23"/>
          <w:shd w:val="clear" w:color="auto" w:fill="FFFFFF"/>
        </w:rPr>
        <w:t>。</w:t>
      </w:r>
    </w:p>
    <w:p w14:paraId="7A40A532"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t>内部收益率</w:t>
      </w:r>
    </w:p>
    <w:p w14:paraId="1D0E56CB" w14:textId="77777777" w:rsidR="007E5034" w:rsidRDefault="007E5034" w:rsidP="007E5034">
      <w:pPr>
        <w:ind w:firstLine="480"/>
        <w:rPr>
          <w:rFonts w:cs="Times New Roman"/>
          <w:iCs/>
          <w:color w:val="FF0000"/>
        </w:rPr>
      </w:pPr>
      <w:r>
        <w:rPr>
          <w:rFonts w:cs="Times New Roman" w:hint="eastAsia"/>
        </w:rPr>
        <w:t>内部收益率</w:t>
      </w:r>
      <w:r>
        <w:rPr>
          <w:rFonts w:cs="Times New Roman" w:hint="eastAsia"/>
        </w:rPr>
        <w:t>(</w:t>
      </w:r>
      <w:proofErr w:type="spellStart"/>
      <w:r>
        <w:rPr>
          <w:rFonts w:cs="Times New Roman" w:hint="eastAsia"/>
        </w:rPr>
        <w:t>InternalRate</w:t>
      </w:r>
      <w:proofErr w:type="spellEnd"/>
      <w:r>
        <w:rPr>
          <w:rFonts w:cs="Times New Roman" w:hint="eastAsia"/>
        </w:rPr>
        <w:t xml:space="preserve"> of Return, IRR)</w:t>
      </w:r>
      <w:r>
        <w:rPr>
          <w:rFonts w:cs="Times New Roman" w:hint="eastAsia"/>
        </w:rPr>
        <w:t>是累计净现值为</w:t>
      </w:r>
      <w:r>
        <w:rPr>
          <w:rFonts w:cs="Times New Roman" w:hint="eastAsia"/>
        </w:rPr>
        <w:t>0</w:t>
      </w:r>
      <w:r>
        <w:rPr>
          <w:rFonts w:cs="Times New Roman" w:hint="eastAsia"/>
        </w:rPr>
        <w:t>的时候的贴现率。这个内部报酬率的意思就是项目能承受的最大货币贬值的比率。</w:t>
      </w:r>
    </w:p>
    <w:p w14:paraId="4A246550" w14:textId="77777777" w:rsidR="007E5034" w:rsidRDefault="007E5034" w:rsidP="007E5034">
      <w:pPr>
        <w:ind w:firstLine="480"/>
        <w:rPr>
          <w:rFonts w:cs="Times New Roman"/>
        </w:rPr>
      </w:pPr>
      <w:r>
        <w:rPr>
          <w:rFonts w:cs="Times New Roman" w:hint="eastAsia"/>
        </w:rPr>
        <w:t>从项目建设起始年算起，以项目的净收益回收其全部投资所需要的时间，衡量收回初始投资的速度的快慢。</w:t>
      </w:r>
    </w:p>
    <w:p w14:paraId="714F9769" w14:textId="77777777" w:rsidR="007E5034" w:rsidRDefault="007E5034" w:rsidP="007E5034">
      <w:pPr>
        <w:ind w:firstLineChars="0" w:firstLine="0"/>
        <w:jc w:val="center"/>
        <w:rPr>
          <w:rFonts w:cs="Times New Roman"/>
        </w:rPr>
      </w:pPr>
      <w:r>
        <w:rPr>
          <w:rFonts w:cs="Times New Roman"/>
          <w:position w:val="-30"/>
        </w:rPr>
        <w:object w:dxaOrig="2545" w:dyaOrig="1006" w14:anchorId="5C5A45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4pt;height:50.45pt" o:ole="">
            <v:imagedata r:id="rId7" o:title=""/>
          </v:shape>
          <o:OLEObject Type="Embed" ProgID="Equation.DSMT4" ShapeID="_x0000_i1025" DrawAspect="Content" ObjectID="_1849442388" r:id="rId8"/>
        </w:object>
      </w:r>
    </w:p>
    <w:p w14:paraId="15707FD3" w14:textId="77777777" w:rsidR="007E5034" w:rsidRDefault="007E5034" w:rsidP="007E5034">
      <w:pPr>
        <w:ind w:firstLineChars="0" w:firstLine="0"/>
        <w:rPr>
          <w:rFonts w:cs="Times New Roman"/>
        </w:rPr>
      </w:pPr>
      <w:r>
        <w:rPr>
          <w:rFonts w:cs="Times New Roman" w:hint="eastAsia"/>
        </w:rPr>
        <w:t>其中，</w:t>
      </w:r>
      <w:r>
        <w:rPr>
          <w:rFonts w:cs="Times New Roman"/>
          <w:position w:val="-4"/>
        </w:rPr>
        <w:object w:dxaOrig="217" w:dyaOrig="256" w14:anchorId="0E17F923">
          <v:shape id="_x0000_i1026" type="#_x0000_t75" style="width:11.3pt;height:13.05pt" o:ole="">
            <v:imagedata r:id="rId9" o:title=""/>
          </v:shape>
          <o:OLEObject Type="Embed" ProgID="Equation.DSMT4" ShapeID="_x0000_i1026" DrawAspect="Content" ObjectID="_1849442389" r:id="rId10"/>
        </w:object>
      </w:r>
      <w:r>
        <w:rPr>
          <w:rFonts w:cs="Times New Roman" w:hint="eastAsia"/>
        </w:rPr>
        <w:t>为项目各年累计净现金流量首次为正值的年份；</w:t>
      </w:r>
      <w:r>
        <w:rPr>
          <w:rFonts w:cs="Times New Roman"/>
          <w:position w:val="-12"/>
        </w:rPr>
        <w:object w:dxaOrig="1105" w:dyaOrig="375" w14:anchorId="48BD7F64">
          <v:shape id="_x0000_i1027" type="#_x0000_t75" style="width:55.4pt;height:18.35pt" o:ole="">
            <v:imagedata r:id="rId11" o:title=""/>
          </v:shape>
          <o:OLEObject Type="Embed" ProgID="Equation.DSMT4" ShapeID="_x0000_i1027" DrawAspect="Content" ObjectID="_1849442390" r:id="rId12"/>
        </w:object>
      </w:r>
      <w:r>
        <w:rPr>
          <w:rFonts w:cs="Times New Roman" w:hint="eastAsia"/>
        </w:rPr>
        <w:t xml:space="preserve"> </w:t>
      </w:r>
      <w:r>
        <w:rPr>
          <w:rFonts w:cs="Times New Roman" w:hint="eastAsia"/>
        </w:rPr>
        <w:t>为第</w:t>
      </w:r>
      <w:r>
        <w:rPr>
          <w:rFonts w:cs="Times New Roman" w:hint="eastAsia"/>
        </w:rPr>
        <w:t>t</w:t>
      </w:r>
      <w:r>
        <w:rPr>
          <w:rFonts w:cs="Times New Roman" w:hint="eastAsia"/>
        </w:rPr>
        <w:t>年的净现金流量。</w:t>
      </w:r>
    </w:p>
    <w:p w14:paraId="17E46BB1" w14:textId="77777777" w:rsidR="007E5034" w:rsidRDefault="007E5034" w:rsidP="007E5034">
      <w:pPr>
        <w:keepNext/>
        <w:keepLines/>
        <w:numPr>
          <w:ilvl w:val="3"/>
          <w:numId w:val="1"/>
        </w:numPr>
        <w:ind w:left="0" w:firstLineChars="0" w:firstLine="0"/>
        <w:outlineLvl w:val="3"/>
        <w:rPr>
          <w:rFonts w:cs="Times New Roman"/>
          <w:iCs/>
        </w:rPr>
      </w:pPr>
      <w:r>
        <w:rPr>
          <w:rFonts w:cs="Times New Roman" w:hint="eastAsia"/>
          <w:iCs/>
        </w:rPr>
        <w:lastRenderedPageBreak/>
        <w:t>动态投资回收期</w:t>
      </w:r>
    </w:p>
    <w:p w14:paraId="310414F5" w14:textId="77777777" w:rsidR="007E5034" w:rsidRDefault="007E5034" w:rsidP="007E5034">
      <w:pPr>
        <w:ind w:firstLine="480"/>
        <w:rPr>
          <w:rFonts w:cs="Times New Roman"/>
        </w:rPr>
      </w:pPr>
      <w:r>
        <w:rPr>
          <w:rFonts w:cs="Times New Roman" w:hint="eastAsia"/>
        </w:rPr>
        <w:t>在静态投资回收期的基础上</w:t>
      </w:r>
    </w:p>
    <w:p w14:paraId="04A4C290" w14:textId="77777777" w:rsidR="007E5034" w:rsidRDefault="007E5034" w:rsidP="007E5034">
      <w:pPr>
        <w:ind w:firstLineChars="0" w:firstLine="0"/>
        <w:jc w:val="center"/>
        <w:rPr>
          <w:rFonts w:cs="Times New Roman"/>
        </w:rPr>
      </w:pPr>
      <w:r>
        <w:rPr>
          <w:rFonts w:cs="Times New Roman"/>
          <w:position w:val="-30"/>
        </w:rPr>
        <w:object w:dxaOrig="3413" w:dyaOrig="1006" w14:anchorId="28CD0AB4">
          <v:shape id="_x0000_i1028" type="#_x0000_t75" style="width:170.8pt;height:50.45pt" o:ole="">
            <v:imagedata r:id="rId13" o:title=""/>
          </v:shape>
          <o:OLEObject Type="Embed" ProgID="Equation.DSMT4" ShapeID="_x0000_i1028" DrawAspect="Content" ObjectID="_1849442391" r:id="rId14"/>
        </w:object>
      </w:r>
    </w:p>
    <w:p w14:paraId="3FC8D3B2" w14:textId="77777777" w:rsidR="007E5034" w:rsidRDefault="007E5034" w:rsidP="007E5034">
      <w:pPr>
        <w:ind w:firstLineChars="0" w:firstLine="0"/>
        <w:rPr>
          <w:rFonts w:cs="Times New Roman"/>
        </w:rPr>
      </w:pPr>
      <w:r>
        <w:rPr>
          <w:rFonts w:cs="Times New Roman" w:hint="eastAsia"/>
        </w:rPr>
        <w:t>其中，</w:t>
      </w:r>
      <w:r>
        <w:rPr>
          <w:rFonts w:cs="Times New Roman"/>
          <w:position w:val="-4"/>
        </w:rPr>
        <w:object w:dxaOrig="217" w:dyaOrig="256" w14:anchorId="5D205A07">
          <v:shape id="_x0000_i1029" type="#_x0000_t75" style="width:11.3pt;height:13.05pt" o:ole="">
            <v:imagedata r:id="rId9" o:title=""/>
          </v:shape>
          <o:OLEObject Type="Embed" ProgID="Equation.DSMT4" ShapeID="_x0000_i1029" DrawAspect="Content" ObjectID="_1849442392" r:id="rId15"/>
        </w:object>
      </w:r>
      <w:r>
        <w:rPr>
          <w:rFonts w:cs="Times New Roman" w:hint="eastAsia"/>
        </w:rPr>
        <w:t>为项目各年累计净现金流量首次为正值的年份；</w:t>
      </w:r>
      <w:r>
        <w:rPr>
          <w:rFonts w:cs="Times New Roman"/>
          <w:position w:val="-12"/>
        </w:rPr>
        <w:object w:dxaOrig="1105" w:dyaOrig="375" w14:anchorId="3D2AB90D">
          <v:shape id="_x0000_i1030" type="#_x0000_t75" style="width:55.4pt;height:18.35pt" o:ole="">
            <v:imagedata r:id="rId11" o:title=""/>
          </v:shape>
          <o:OLEObject Type="Embed" ProgID="Equation.DSMT4" ShapeID="_x0000_i1030" DrawAspect="Content" ObjectID="_1849442393" r:id="rId16"/>
        </w:object>
      </w:r>
      <w:r>
        <w:rPr>
          <w:rFonts w:cs="Times New Roman" w:hint="eastAsia"/>
        </w:rPr>
        <w:t xml:space="preserve"> </w:t>
      </w:r>
      <w:r>
        <w:rPr>
          <w:rFonts w:cs="Times New Roman" w:hint="eastAsia"/>
        </w:rPr>
        <w:t>为第</w:t>
      </w:r>
      <w:r>
        <w:rPr>
          <w:rFonts w:cs="Times New Roman" w:hint="eastAsia"/>
        </w:rPr>
        <w:t>t</w:t>
      </w:r>
      <w:r>
        <w:rPr>
          <w:rFonts w:cs="Times New Roman" w:hint="eastAsia"/>
        </w:rPr>
        <w:t>年的净现金流量；</w:t>
      </w:r>
      <w:proofErr w:type="spellStart"/>
      <w:r>
        <w:rPr>
          <w:rFonts w:cs="Times New Roman" w:hint="eastAsia"/>
        </w:rPr>
        <w:t>i</w:t>
      </w:r>
      <w:proofErr w:type="spellEnd"/>
      <w:r>
        <w:rPr>
          <w:rFonts w:cs="Times New Roman" w:hint="eastAsia"/>
        </w:rPr>
        <w:t>为折现率。</w:t>
      </w:r>
    </w:p>
    <w:p w14:paraId="58F7ECDE" w14:textId="39309271" w:rsidR="00393C9D" w:rsidRDefault="00393C9D" w:rsidP="00393C9D">
      <w:pPr>
        <w:pStyle w:val="3"/>
      </w:pPr>
      <w:r>
        <w:rPr>
          <w:rFonts w:hint="eastAsia"/>
        </w:rPr>
        <w:t>算例分析</w:t>
      </w:r>
    </w:p>
    <w:p w14:paraId="0E9AE92A" w14:textId="747CB463" w:rsidR="00393C9D" w:rsidRPr="00393C9D" w:rsidRDefault="00393C9D" w:rsidP="00393C9D">
      <w:pPr>
        <w:ind w:firstLine="480"/>
        <w:rPr>
          <w:rFonts w:hint="eastAsia"/>
        </w:rPr>
      </w:pPr>
      <w:r>
        <w:rPr>
          <w:rFonts w:hint="eastAsia"/>
        </w:rPr>
        <w:t>根据以上理论，重点分析</w:t>
      </w:r>
      <w:r w:rsidRPr="00576D31">
        <w:t>oT_Result_Evaluations_sSEP.csv</w:t>
      </w:r>
      <w:r>
        <w:rPr>
          <w:rFonts w:hint="eastAsia"/>
        </w:rPr>
        <w:t>结果。</w:t>
      </w:r>
    </w:p>
    <w:p w14:paraId="5F071419" w14:textId="77777777" w:rsidR="00E0624B" w:rsidRPr="005D4D55" w:rsidRDefault="00E0624B" w:rsidP="00E0624B">
      <w:pPr>
        <w:pStyle w:val="1"/>
      </w:pPr>
      <w:bookmarkStart w:id="2" w:name="_Toc189819524"/>
      <w:r w:rsidRPr="005D4D55">
        <w:rPr>
          <w:rFonts w:hint="eastAsia"/>
        </w:rPr>
        <w:t>结论及建议</w:t>
      </w:r>
      <w:bookmarkEnd w:id="2"/>
    </w:p>
    <w:p w14:paraId="3B5AAFAB" w14:textId="189AE5C9" w:rsidR="00AB7502" w:rsidRPr="00AB7502" w:rsidRDefault="00AB7502" w:rsidP="00AB7502">
      <w:pPr>
        <w:ind w:firstLine="480"/>
        <w:rPr>
          <w:rFonts w:hint="eastAsia"/>
        </w:rPr>
      </w:pPr>
      <w:r w:rsidRPr="00AB7502">
        <w:rPr>
          <w:rFonts w:hint="eastAsia"/>
        </w:rPr>
        <w:t>总结微电网规划的通用技术路线，结</w:t>
      </w:r>
      <w:proofErr w:type="gramStart"/>
      <w:r w:rsidRPr="00AB7502">
        <w:rPr>
          <w:rFonts w:hint="eastAsia"/>
        </w:rPr>
        <w:t>合</w:t>
      </w:r>
      <w:r>
        <w:rPr>
          <w:rFonts w:hint="eastAsia"/>
        </w:rPr>
        <w:t>算例</w:t>
      </w:r>
      <w:proofErr w:type="gramEnd"/>
      <w:r>
        <w:rPr>
          <w:rFonts w:hint="eastAsia"/>
        </w:rPr>
        <w:t>结果</w:t>
      </w:r>
      <w:r w:rsidRPr="00AB7502">
        <w:rPr>
          <w:rFonts w:hint="eastAsia"/>
        </w:rPr>
        <w:t>给出电源、储能的结论性建议。</w:t>
      </w:r>
    </w:p>
    <w:sectPr w:rsidR="00AB7502" w:rsidRPr="00AB7502">
      <w:headerReference w:type="even" r:id="rId17"/>
      <w:headerReference w:type="default" r:id="rId18"/>
      <w:footerReference w:type="even" r:id="rId19"/>
      <w:footerReference w:type="default" r:id="rId20"/>
      <w:headerReference w:type="first" r:id="rId21"/>
      <w:footerReference w:type="first" r:id="rId2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025DD9" w14:textId="77777777" w:rsidR="000141E1" w:rsidRDefault="000141E1" w:rsidP="00447ECD">
      <w:pPr>
        <w:spacing w:line="240" w:lineRule="auto"/>
        <w:ind w:firstLine="480"/>
      </w:pPr>
      <w:r>
        <w:separator/>
      </w:r>
    </w:p>
  </w:endnote>
  <w:endnote w:type="continuationSeparator" w:id="0">
    <w:p w14:paraId="5E83C780" w14:textId="77777777" w:rsidR="000141E1" w:rsidRDefault="000141E1" w:rsidP="00447EC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FPEF">
    <w:altName w:val="Times New Roman"/>
    <w:charset w:val="00"/>
    <w:family w:val="roman"/>
    <w:pitch w:val="default"/>
  </w:font>
  <w:font w:name="Times New Roman+FPEF">
    <w:altName w:val="Times New Roman"/>
    <w:charset w:val="00"/>
    <w:family w:val="roman"/>
    <w:pitch w:val="default"/>
  </w:font>
  <w:font w:name="MT Extra+FPEF">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AF0E4" w14:textId="77777777" w:rsidR="0010134F" w:rsidRDefault="0010134F">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AC656C" w14:textId="77777777" w:rsidR="0010134F" w:rsidRDefault="0010134F">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20A53" w14:textId="77777777" w:rsidR="0010134F" w:rsidRDefault="0010134F">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5883B5" w14:textId="77777777" w:rsidR="000141E1" w:rsidRDefault="000141E1" w:rsidP="00447ECD">
      <w:pPr>
        <w:spacing w:line="240" w:lineRule="auto"/>
        <w:ind w:firstLine="480"/>
      </w:pPr>
      <w:r>
        <w:separator/>
      </w:r>
    </w:p>
  </w:footnote>
  <w:footnote w:type="continuationSeparator" w:id="0">
    <w:p w14:paraId="1679C695" w14:textId="77777777" w:rsidR="000141E1" w:rsidRDefault="000141E1" w:rsidP="00447EC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D909A" w14:textId="77777777" w:rsidR="0010134F" w:rsidRDefault="0010134F">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84738" w14:textId="77777777" w:rsidR="0010134F" w:rsidRPr="00CD3ABE" w:rsidRDefault="0010134F" w:rsidP="00CD3ABE">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A06C6" w14:textId="77777777" w:rsidR="0010134F" w:rsidRDefault="0010134F">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D57627"/>
    <w:multiLevelType w:val="multilevel"/>
    <w:tmpl w:val="FC7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0574F8"/>
    <w:multiLevelType w:val="hybridMultilevel"/>
    <w:tmpl w:val="17567CBE"/>
    <w:lvl w:ilvl="0" w:tplc="8C8671D2">
      <w:start w:val="1"/>
      <w:numFmt w:val="japaneseCounting"/>
      <w:lvlText w:val="%1、"/>
      <w:lvlJc w:val="left"/>
      <w:pPr>
        <w:ind w:left="880" w:hanging="440"/>
      </w:pPr>
      <w:rPr>
        <w:rFonts w:hint="default"/>
        <w:color w:val="FF0000"/>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 w15:restartNumberingAfterBreak="0">
    <w:nsid w:val="3AE64A72"/>
    <w:multiLevelType w:val="multilevel"/>
    <w:tmpl w:val="8FB2349A"/>
    <w:lvl w:ilvl="0">
      <w:start w:val="1"/>
      <w:numFmt w:val="decimal"/>
      <w:pStyle w:val="1"/>
      <w:suff w:val="space"/>
      <w:lvlText w:val="%1"/>
      <w:lvlJc w:val="left"/>
      <w:pPr>
        <w:ind w:left="360" w:hanging="360"/>
      </w:pPr>
      <w:rPr>
        <w:rFonts w:ascii="Times" w:hAnsi="Times" w:hint="default"/>
      </w:rPr>
    </w:lvl>
    <w:lvl w:ilvl="1">
      <w:start w:val="1"/>
      <w:numFmt w:val="decimal"/>
      <w:pStyle w:val="2"/>
      <w:suff w:val="space"/>
      <w:lvlText w:val="%1.%2"/>
      <w:lvlJc w:val="left"/>
      <w:pPr>
        <w:ind w:left="357" w:hanging="357"/>
      </w:pPr>
      <w:rPr>
        <w:rFonts w:ascii="Times" w:hAnsi="Times" w:hint="default"/>
      </w:rPr>
    </w:lvl>
    <w:lvl w:ilvl="2">
      <w:start w:val="1"/>
      <w:numFmt w:val="decimal"/>
      <w:pStyle w:val="3"/>
      <w:suff w:val="space"/>
      <w:lvlText w:val="%1.%2.%3"/>
      <w:lvlJc w:val="left"/>
      <w:pPr>
        <w:ind w:left="357" w:hanging="357"/>
      </w:pPr>
      <w:rPr>
        <w:rFonts w:ascii="Times" w:hAnsi="Times" w:hint="default"/>
      </w:rPr>
    </w:lvl>
    <w:lvl w:ilvl="3">
      <w:start w:val="1"/>
      <w:numFmt w:val="decimal"/>
      <w:pStyle w:val="4"/>
      <w:suff w:val="space"/>
      <w:lvlText w:val="%1.%2.%3.%4"/>
      <w:lvlJc w:val="left"/>
      <w:pPr>
        <w:ind w:left="357" w:hanging="357"/>
      </w:pPr>
      <w:rPr>
        <w:rFonts w:ascii="Times" w:hAnsi="Times" w:hint="default"/>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3" w15:restartNumberingAfterBreak="0">
    <w:nsid w:val="48A6550E"/>
    <w:multiLevelType w:val="multilevel"/>
    <w:tmpl w:val="702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9C474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6554D0F"/>
    <w:multiLevelType w:val="multilevel"/>
    <w:tmpl w:val="F72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4D3D84"/>
    <w:multiLevelType w:val="multilevel"/>
    <w:tmpl w:val="43F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7760D8"/>
    <w:multiLevelType w:val="multilevel"/>
    <w:tmpl w:val="182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DF3577"/>
    <w:multiLevelType w:val="multilevel"/>
    <w:tmpl w:val="913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5148878">
    <w:abstractNumId w:val="2"/>
  </w:num>
  <w:num w:numId="2" w16cid:durableId="682710136">
    <w:abstractNumId w:val="0"/>
  </w:num>
  <w:num w:numId="3" w16cid:durableId="325666808">
    <w:abstractNumId w:val="4"/>
  </w:num>
  <w:num w:numId="4" w16cid:durableId="1137383463">
    <w:abstractNumId w:val="1"/>
  </w:num>
  <w:num w:numId="5" w16cid:durableId="34431054">
    <w:abstractNumId w:val="6"/>
  </w:num>
  <w:num w:numId="6" w16cid:durableId="1130712448">
    <w:abstractNumId w:val="3"/>
  </w:num>
  <w:num w:numId="7" w16cid:durableId="1984191302">
    <w:abstractNumId w:val="8"/>
  </w:num>
  <w:num w:numId="8" w16cid:durableId="34350658">
    <w:abstractNumId w:val="5"/>
  </w:num>
  <w:num w:numId="9" w16cid:durableId="18421603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E0NjI0MTA0MjE1NzNV0lEKTi0uzszPAykwrgUAiz8tyywAAAA="/>
  </w:docVars>
  <w:rsids>
    <w:rsidRoot w:val="00DB1963"/>
    <w:rsid w:val="000042B6"/>
    <w:rsid w:val="0000752C"/>
    <w:rsid w:val="000117AE"/>
    <w:rsid w:val="000141E1"/>
    <w:rsid w:val="00016FB6"/>
    <w:rsid w:val="000316B9"/>
    <w:rsid w:val="000417D4"/>
    <w:rsid w:val="0004605B"/>
    <w:rsid w:val="000522C9"/>
    <w:rsid w:val="00056106"/>
    <w:rsid w:val="00084646"/>
    <w:rsid w:val="00091B72"/>
    <w:rsid w:val="00095211"/>
    <w:rsid w:val="000B6978"/>
    <w:rsid w:val="000C02FD"/>
    <w:rsid w:val="000C241E"/>
    <w:rsid w:val="000C3F44"/>
    <w:rsid w:val="000D3C07"/>
    <w:rsid w:val="000E1F54"/>
    <w:rsid w:val="000F6197"/>
    <w:rsid w:val="0010134F"/>
    <w:rsid w:val="00111F81"/>
    <w:rsid w:val="00122192"/>
    <w:rsid w:val="00130812"/>
    <w:rsid w:val="00132BB1"/>
    <w:rsid w:val="00133378"/>
    <w:rsid w:val="0014308E"/>
    <w:rsid w:val="00143E00"/>
    <w:rsid w:val="00160578"/>
    <w:rsid w:val="00197622"/>
    <w:rsid w:val="001B038F"/>
    <w:rsid w:val="001C0387"/>
    <w:rsid w:val="001C2056"/>
    <w:rsid w:val="001D1D40"/>
    <w:rsid w:val="001E2861"/>
    <w:rsid w:val="001E6082"/>
    <w:rsid w:val="001E7DF6"/>
    <w:rsid w:val="001F0489"/>
    <w:rsid w:val="00215288"/>
    <w:rsid w:val="002202ED"/>
    <w:rsid w:val="002349B7"/>
    <w:rsid w:val="00243510"/>
    <w:rsid w:val="00252896"/>
    <w:rsid w:val="0025766D"/>
    <w:rsid w:val="00274368"/>
    <w:rsid w:val="00281438"/>
    <w:rsid w:val="002A0E0D"/>
    <w:rsid w:val="002B28BD"/>
    <w:rsid w:val="002D5124"/>
    <w:rsid w:val="002D756F"/>
    <w:rsid w:val="002F5571"/>
    <w:rsid w:val="002F7CC3"/>
    <w:rsid w:val="00304379"/>
    <w:rsid w:val="00314A53"/>
    <w:rsid w:val="003216A5"/>
    <w:rsid w:val="00326B27"/>
    <w:rsid w:val="00363D1A"/>
    <w:rsid w:val="003665A2"/>
    <w:rsid w:val="0037450F"/>
    <w:rsid w:val="00381C7A"/>
    <w:rsid w:val="00381C81"/>
    <w:rsid w:val="00392BAE"/>
    <w:rsid w:val="00393C9D"/>
    <w:rsid w:val="003B34A1"/>
    <w:rsid w:val="003B7701"/>
    <w:rsid w:val="003C58A6"/>
    <w:rsid w:val="003F4544"/>
    <w:rsid w:val="003F61CA"/>
    <w:rsid w:val="00403119"/>
    <w:rsid w:val="0040412D"/>
    <w:rsid w:val="0041723A"/>
    <w:rsid w:val="004237F0"/>
    <w:rsid w:val="0042779D"/>
    <w:rsid w:val="00427D37"/>
    <w:rsid w:val="00443962"/>
    <w:rsid w:val="00443A7B"/>
    <w:rsid w:val="00447ECD"/>
    <w:rsid w:val="00450335"/>
    <w:rsid w:val="004532C9"/>
    <w:rsid w:val="00460BE7"/>
    <w:rsid w:val="00475D7C"/>
    <w:rsid w:val="00484403"/>
    <w:rsid w:val="00484DF4"/>
    <w:rsid w:val="00486A9B"/>
    <w:rsid w:val="004913DE"/>
    <w:rsid w:val="00491479"/>
    <w:rsid w:val="00493B60"/>
    <w:rsid w:val="004962CA"/>
    <w:rsid w:val="004A1DD4"/>
    <w:rsid w:val="004B342B"/>
    <w:rsid w:val="004C295F"/>
    <w:rsid w:val="004C3E28"/>
    <w:rsid w:val="004C6C0D"/>
    <w:rsid w:val="004D5A2B"/>
    <w:rsid w:val="004E0EB7"/>
    <w:rsid w:val="004E1F22"/>
    <w:rsid w:val="005028CA"/>
    <w:rsid w:val="005038D3"/>
    <w:rsid w:val="0050750A"/>
    <w:rsid w:val="00525314"/>
    <w:rsid w:val="00530C48"/>
    <w:rsid w:val="00540C3D"/>
    <w:rsid w:val="00576D31"/>
    <w:rsid w:val="005940F2"/>
    <w:rsid w:val="0059495E"/>
    <w:rsid w:val="005B4435"/>
    <w:rsid w:val="005B64AF"/>
    <w:rsid w:val="005C2837"/>
    <w:rsid w:val="005C5261"/>
    <w:rsid w:val="005D210D"/>
    <w:rsid w:val="005D2971"/>
    <w:rsid w:val="005E13DA"/>
    <w:rsid w:val="005E17F4"/>
    <w:rsid w:val="005E6FF3"/>
    <w:rsid w:val="005F1C3B"/>
    <w:rsid w:val="005F73FE"/>
    <w:rsid w:val="006130DD"/>
    <w:rsid w:val="00613311"/>
    <w:rsid w:val="00615EEB"/>
    <w:rsid w:val="00632EB5"/>
    <w:rsid w:val="006410C5"/>
    <w:rsid w:val="00643CC6"/>
    <w:rsid w:val="00665B98"/>
    <w:rsid w:val="00670A38"/>
    <w:rsid w:val="00670BC0"/>
    <w:rsid w:val="00676624"/>
    <w:rsid w:val="006814A8"/>
    <w:rsid w:val="00681C3C"/>
    <w:rsid w:val="00683A1A"/>
    <w:rsid w:val="00684848"/>
    <w:rsid w:val="006925A8"/>
    <w:rsid w:val="00697134"/>
    <w:rsid w:val="00697F7D"/>
    <w:rsid w:val="006B136E"/>
    <w:rsid w:val="006D5585"/>
    <w:rsid w:val="00731038"/>
    <w:rsid w:val="00740374"/>
    <w:rsid w:val="0075599E"/>
    <w:rsid w:val="00755A90"/>
    <w:rsid w:val="00767CC8"/>
    <w:rsid w:val="0077498E"/>
    <w:rsid w:val="0078388C"/>
    <w:rsid w:val="00785F7C"/>
    <w:rsid w:val="00787EDF"/>
    <w:rsid w:val="0079325C"/>
    <w:rsid w:val="0079471B"/>
    <w:rsid w:val="007A050D"/>
    <w:rsid w:val="007A62EF"/>
    <w:rsid w:val="007B6564"/>
    <w:rsid w:val="007B6BD6"/>
    <w:rsid w:val="007C244A"/>
    <w:rsid w:val="007C62CF"/>
    <w:rsid w:val="007D69F7"/>
    <w:rsid w:val="007E257E"/>
    <w:rsid w:val="007E5034"/>
    <w:rsid w:val="007F7451"/>
    <w:rsid w:val="008107ED"/>
    <w:rsid w:val="008328F6"/>
    <w:rsid w:val="008345DA"/>
    <w:rsid w:val="00841CE4"/>
    <w:rsid w:val="00851DD9"/>
    <w:rsid w:val="008671BD"/>
    <w:rsid w:val="00893390"/>
    <w:rsid w:val="00894EFD"/>
    <w:rsid w:val="008A68B9"/>
    <w:rsid w:val="008B70C4"/>
    <w:rsid w:val="008C7850"/>
    <w:rsid w:val="008E0C2E"/>
    <w:rsid w:val="008E6736"/>
    <w:rsid w:val="008F0E68"/>
    <w:rsid w:val="008F259C"/>
    <w:rsid w:val="00902198"/>
    <w:rsid w:val="00904E83"/>
    <w:rsid w:val="00910023"/>
    <w:rsid w:val="00923E8A"/>
    <w:rsid w:val="00933E17"/>
    <w:rsid w:val="0094121A"/>
    <w:rsid w:val="00944D55"/>
    <w:rsid w:val="00950E0F"/>
    <w:rsid w:val="00976601"/>
    <w:rsid w:val="0098039F"/>
    <w:rsid w:val="009A0E42"/>
    <w:rsid w:val="009C14D9"/>
    <w:rsid w:val="009D2563"/>
    <w:rsid w:val="009E0668"/>
    <w:rsid w:val="009E5002"/>
    <w:rsid w:val="009E6921"/>
    <w:rsid w:val="00A00318"/>
    <w:rsid w:val="00A00988"/>
    <w:rsid w:val="00A04292"/>
    <w:rsid w:val="00A0434A"/>
    <w:rsid w:val="00A04384"/>
    <w:rsid w:val="00A04A5C"/>
    <w:rsid w:val="00A13216"/>
    <w:rsid w:val="00A34D55"/>
    <w:rsid w:val="00A37395"/>
    <w:rsid w:val="00A446FF"/>
    <w:rsid w:val="00A46489"/>
    <w:rsid w:val="00A50D94"/>
    <w:rsid w:val="00A52D1D"/>
    <w:rsid w:val="00A546E9"/>
    <w:rsid w:val="00A76085"/>
    <w:rsid w:val="00A911F1"/>
    <w:rsid w:val="00A94771"/>
    <w:rsid w:val="00A97482"/>
    <w:rsid w:val="00AA38B4"/>
    <w:rsid w:val="00AB1513"/>
    <w:rsid w:val="00AB24F4"/>
    <w:rsid w:val="00AB7502"/>
    <w:rsid w:val="00AC0652"/>
    <w:rsid w:val="00AD2E0C"/>
    <w:rsid w:val="00AD6BD4"/>
    <w:rsid w:val="00AE610F"/>
    <w:rsid w:val="00AF0513"/>
    <w:rsid w:val="00AF6B52"/>
    <w:rsid w:val="00B012C6"/>
    <w:rsid w:val="00B12697"/>
    <w:rsid w:val="00B17B36"/>
    <w:rsid w:val="00B35B67"/>
    <w:rsid w:val="00B42922"/>
    <w:rsid w:val="00B4487C"/>
    <w:rsid w:val="00B44A6B"/>
    <w:rsid w:val="00B479D7"/>
    <w:rsid w:val="00BA1D99"/>
    <w:rsid w:val="00BA269A"/>
    <w:rsid w:val="00BA5E90"/>
    <w:rsid w:val="00BB27B6"/>
    <w:rsid w:val="00BB6E98"/>
    <w:rsid w:val="00BE3E38"/>
    <w:rsid w:val="00BF3A5F"/>
    <w:rsid w:val="00C11958"/>
    <w:rsid w:val="00C13BBE"/>
    <w:rsid w:val="00C14213"/>
    <w:rsid w:val="00C232AA"/>
    <w:rsid w:val="00C24BC3"/>
    <w:rsid w:val="00C32157"/>
    <w:rsid w:val="00C4708B"/>
    <w:rsid w:val="00C5687B"/>
    <w:rsid w:val="00C60202"/>
    <w:rsid w:val="00C60A07"/>
    <w:rsid w:val="00C83A07"/>
    <w:rsid w:val="00C86366"/>
    <w:rsid w:val="00C90CE2"/>
    <w:rsid w:val="00C94A0D"/>
    <w:rsid w:val="00CA11AB"/>
    <w:rsid w:val="00CA1BD7"/>
    <w:rsid w:val="00CA274B"/>
    <w:rsid w:val="00CA5D16"/>
    <w:rsid w:val="00CB0D1B"/>
    <w:rsid w:val="00CC2B8E"/>
    <w:rsid w:val="00CC58DB"/>
    <w:rsid w:val="00CC624F"/>
    <w:rsid w:val="00CC7D52"/>
    <w:rsid w:val="00CD3ABE"/>
    <w:rsid w:val="00CE5DC3"/>
    <w:rsid w:val="00CF4A01"/>
    <w:rsid w:val="00CF76E8"/>
    <w:rsid w:val="00D00929"/>
    <w:rsid w:val="00D017C2"/>
    <w:rsid w:val="00D01DB0"/>
    <w:rsid w:val="00D046A1"/>
    <w:rsid w:val="00D10742"/>
    <w:rsid w:val="00D234E5"/>
    <w:rsid w:val="00D34946"/>
    <w:rsid w:val="00D520D6"/>
    <w:rsid w:val="00D53885"/>
    <w:rsid w:val="00D56CC7"/>
    <w:rsid w:val="00D76879"/>
    <w:rsid w:val="00D811AF"/>
    <w:rsid w:val="00D94BDC"/>
    <w:rsid w:val="00DA1CF7"/>
    <w:rsid w:val="00DB0801"/>
    <w:rsid w:val="00DB1963"/>
    <w:rsid w:val="00DE5677"/>
    <w:rsid w:val="00DE74AD"/>
    <w:rsid w:val="00DF1562"/>
    <w:rsid w:val="00E0624B"/>
    <w:rsid w:val="00E11B23"/>
    <w:rsid w:val="00E23306"/>
    <w:rsid w:val="00E36CE3"/>
    <w:rsid w:val="00E40222"/>
    <w:rsid w:val="00E46598"/>
    <w:rsid w:val="00E472CC"/>
    <w:rsid w:val="00E71B87"/>
    <w:rsid w:val="00E7299C"/>
    <w:rsid w:val="00E776F4"/>
    <w:rsid w:val="00E86B1D"/>
    <w:rsid w:val="00EA021B"/>
    <w:rsid w:val="00EA0502"/>
    <w:rsid w:val="00EA140A"/>
    <w:rsid w:val="00EB27F7"/>
    <w:rsid w:val="00EC1EA2"/>
    <w:rsid w:val="00ED1673"/>
    <w:rsid w:val="00ED470C"/>
    <w:rsid w:val="00EF0260"/>
    <w:rsid w:val="00EF4F36"/>
    <w:rsid w:val="00EF67AF"/>
    <w:rsid w:val="00F27B30"/>
    <w:rsid w:val="00F31556"/>
    <w:rsid w:val="00F4050F"/>
    <w:rsid w:val="00F52FDC"/>
    <w:rsid w:val="00F5556E"/>
    <w:rsid w:val="00F9062C"/>
    <w:rsid w:val="00FA033D"/>
    <w:rsid w:val="00FD3233"/>
    <w:rsid w:val="00FE6786"/>
    <w:rsid w:val="00FF4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B4DFA"/>
  <w15:chartTrackingRefBased/>
  <w15:docId w15:val="{599ADA70-C46E-4AB6-B140-EC44DFEC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157"/>
    <w:pPr>
      <w:spacing w:after="0" w:line="360" w:lineRule="auto"/>
      <w:ind w:firstLineChars="200" w:firstLine="200"/>
    </w:pPr>
    <w:rPr>
      <w:rFonts w:ascii="Times New Roman" w:eastAsia="仿宋" w:hAnsi="Times New Roman"/>
      <w:sz w:val="24"/>
    </w:rPr>
  </w:style>
  <w:style w:type="paragraph" w:styleId="1">
    <w:name w:val="heading 1"/>
    <w:basedOn w:val="a"/>
    <w:next w:val="a"/>
    <w:link w:val="10"/>
    <w:uiPriority w:val="9"/>
    <w:qFormat/>
    <w:rsid w:val="00615EEB"/>
    <w:pPr>
      <w:keepNext/>
      <w:keepLines/>
      <w:numPr>
        <w:numId w:val="1"/>
      </w:numPr>
      <w:ind w:left="0" w:firstLineChars="0" w:firstLine="0"/>
      <w:outlineLvl w:val="0"/>
    </w:pPr>
    <w:rPr>
      <w:rFonts w:cstheme="majorBidi"/>
      <w:sz w:val="32"/>
      <w:szCs w:val="32"/>
    </w:rPr>
  </w:style>
  <w:style w:type="paragraph" w:styleId="2">
    <w:name w:val="heading 2"/>
    <w:basedOn w:val="a"/>
    <w:next w:val="a"/>
    <w:link w:val="20"/>
    <w:uiPriority w:val="9"/>
    <w:unhideWhenUsed/>
    <w:qFormat/>
    <w:rsid w:val="00615EEB"/>
    <w:pPr>
      <w:keepNext/>
      <w:keepLines/>
      <w:numPr>
        <w:ilvl w:val="1"/>
        <w:numId w:val="1"/>
      </w:numPr>
      <w:ind w:left="0" w:firstLineChars="0" w:firstLine="0"/>
      <w:outlineLvl w:val="1"/>
    </w:pPr>
    <w:rPr>
      <w:rFonts w:cstheme="majorBidi"/>
      <w:sz w:val="30"/>
      <w:szCs w:val="26"/>
    </w:rPr>
  </w:style>
  <w:style w:type="paragraph" w:styleId="3">
    <w:name w:val="heading 3"/>
    <w:basedOn w:val="a"/>
    <w:next w:val="a"/>
    <w:link w:val="30"/>
    <w:uiPriority w:val="9"/>
    <w:unhideWhenUsed/>
    <w:qFormat/>
    <w:rsid w:val="00EA021B"/>
    <w:pPr>
      <w:keepNext/>
      <w:keepLines/>
      <w:numPr>
        <w:ilvl w:val="2"/>
        <w:numId w:val="1"/>
      </w:numPr>
      <w:ind w:left="0" w:firstLineChars="0" w:firstLine="0"/>
      <w:outlineLvl w:val="2"/>
    </w:pPr>
    <w:rPr>
      <w:rFonts w:cstheme="majorBidi"/>
      <w:sz w:val="28"/>
      <w:szCs w:val="24"/>
    </w:rPr>
  </w:style>
  <w:style w:type="paragraph" w:styleId="4">
    <w:name w:val="heading 4"/>
    <w:basedOn w:val="a"/>
    <w:next w:val="a"/>
    <w:link w:val="40"/>
    <w:uiPriority w:val="9"/>
    <w:unhideWhenUsed/>
    <w:qFormat/>
    <w:rsid w:val="00615EEB"/>
    <w:pPr>
      <w:keepNext/>
      <w:keepLines/>
      <w:numPr>
        <w:ilvl w:val="3"/>
        <w:numId w:val="1"/>
      </w:numPr>
      <w:ind w:left="0" w:firstLineChars="0" w:firstLine="0"/>
      <w:outlineLvl w:val="3"/>
    </w:pPr>
    <w:rPr>
      <w:rFonts w:cstheme="majorBidi"/>
      <w:iCs/>
    </w:rPr>
  </w:style>
  <w:style w:type="paragraph" w:styleId="5">
    <w:name w:val="heading 5"/>
    <w:basedOn w:val="a"/>
    <w:next w:val="a"/>
    <w:link w:val="50"/>
    <w:uiPriority w:val="9"/>
    <w:unhideWhenUsed/>
    <w:qFormat/>
    <w:rsid w:val="000522C9"/>
    <w:pPr>
      <w:keepNext/>
      <w:keepLines/>
      <w:ind w:left="1009" w:firstLineChars="0" w:hanging="1009"/>
      <w:outlineLvl w:val="4"/>
    </w:pPr>
    <w:rPr>
      <w:rFonts w:cstheme="majorBidi"/>
    </w:rPr>
  </w:style>
  <w:style w:type="paragraph" w:styleId="6">
    <w:name w:val="heading 6"/>
    <w:basedOn w:val="a"/>
    <w:next w:val="a"/>
    <w:link w:val="60"/>
    <w:uiPriority w:val="9"/>
    <w:semiHidden/>
    <w:unhideWhenUsed/>
    <w:qFormat/>
    <w:rsid w:val="00BA269A"/>
    <w:pPr>
      <w:keepNext/>
      <w:keepLines/>
      <w:spacing w:before="40"/>
      <w:ind w:left="1152" w:firstLineChars="0" w:hanging="1152"/>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BA269A"/>
    <w:pPr>
      <w:keepNext/>
      <w:keepLines/>
      <w:spacing w:before="40"/>
      <w:ind w:left="1296" w:firstLineChars="0" w:hanging="1296"/>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BA269A"/>
    <w:pPr>
      <w:keepNext/>
      <w:keepLines/>
      <w:spacing w:before="40"/>
      <w:ind w:left="1440" w:firstLineChars="0" w:hanging="14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A269A"/>
    <w:pPr>
      <w:keepNext/>
      <w:keepLines/>
      <w:spacing w:before="40"/>
      <w:ind w:left="1584" w:firstLineChars="0" w:hanging="1584"/>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615EEB"/>
    <w:rPr>
      <w:rFonts w:ascii="Times New Roman" w:eastAsia="仿宋" w:hAnsi="Times New Roman" w:cstheme="majorBidi"/>
      <w:sz w:val="32"/>
      <w:szCs w:val="32"/>
    </w:rPr>
  </w:style>
  <w:style w:type="character" w:customStyle="1" w:styleId="20">
    <w:name w:val="标题 2 字符"/>
    <w:basedOn w:val="a0"/>
    <w:link w:val="2"/>
    <w:uiPriority w:val="9"/>
    <w:rsid w:val="00615EEB"/>
    <w:rPr>
      <w:rFonts w:ascii="Times New Roman" w:eastAsia="仿宋" w:hAnsi="Times New Roman" w:cstheme="majorBidi"/>
      <w:sz w:val="30"/>
      <w:szCs w:val="26"/>
    </w:rPr>
  </w:style>
  <w:style w:type="character" w:customStyle="1" w:styleId="30">
    <w:name w:val="标题 3 字符"/>
    <w:basedOn w:val="a0"/>
    <w:link w:val="3"/>
    <w:uiPriority w:val="9"/>
    <w:rsid w:val="00EA021B"/>
    <w:rPr>
      <w:rFonts w:ascii="Times New Roman" w:eastAsia="仿宋" w:hAnsi="Times New Roman" w:cstheme="majorBidi"/>
      <w:sz w:val="28"/>
      <w:szCs w:val="24"/>
    </w:rPr>
  </w:style>
  <w:style w:type="character" w:customStyle="1" w:styleId="40">
    <w:name w:val="标题 4 字符"/>
    <w:basedOn w:val="a0"/>
    <w:link w:val="4"/>
    <w:uiPriority w:val="9"/>
    <w:rsid w:val="00615EEB"/>
    <w:rPr>
      <w:rFonts w:ascii="Times New Roman" w:eastAsia="仿宋" w:hAnsi="Times New Roman" w:cstheme="majorBidi"/>
      <w:iCs/>
      <w:sz w:val="28"/>
    </w:rPr>
  </w:style>
  <w:style w:type="paragraph" w:styleId="a3">
    <w:name w:val="header"/>
    <w:basedOn w:val="a"/>
    <w:link w:val="a4"/>
    <w:uiPriority w:val="99"/>
    <w:unhideWhenUsed/>
    <w:rsid w:val="00447EC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447ECD"/>
    <w:rPr>
      <w:rFonts w:ascii="Times New Roman" w:eastAsia="仿宋" w:hAnsi="Times New Roman"/>
      <w:sz w:val="18"/>
      <w:szCs w:val="18"/>
    </w:rPr>
  </w:style>
  <w:style w:type="paragraph" w:styleId="a5">
    <w:name w:val="footer"/>
    <w:basedOn w:val="a"/>
    <w:link w:val="a6"/>
    <w:uiPriority w:val="99"/>
    <w:unhideWhenUsed/>
    <w:rsid w:val="00447EC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447ECD"/>
    <w:rPr>
      <w:rFonts w:ascii="Times New Roman" w:eastAsia="仿宋" w:hAnsi="Times New Roman"/>
      <w:sz w:val="18"/>
      <w:szCs w:val="18"/>
    </w:rPr>
  </w:style>
  <w:style w:type="table" w:styleId="a7">
    <w:name w:val="Table Grid"/>
    <w:basedOn w:val="a1"/>
    <w:uiPriority w:val="39"/>
    <w:rsid w:val="00447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B4435"/>
    <w:rPr>
      <w:rFonts w:ascii="FPEF" w:hAnsi="FPEF" w:hint="default"/>
      <w:b w:val="0"/>
      <w:bCs w:val="0"/>
      <w:i w:val="0"/>
      <w:iCs w:val="0"/>
      <w:color w:val="000000"/>
      <w:sz w:val="22"/>
      <w:szCs w:val="22"/>
    </w:rPr>
  </w:style>
  <w:style w:type="character" w:customStyle="1" w:styleId="fontstyle11">
    <w:name w:val="fontstyle11"/>
    <w:basedOn w:val="a0"/>
    <w:rsid w:val="005B4435"/>
    <w:rPr>
      <w:rFonts w:ascii="Times New Roman+FPEF" w:hAnsi="Times New Roman+FPEF" w:hint="default"/>
      <w:b w:val="0"/>
      <w:bCs w:val="0"/>
      <w:i w:val="0"/>
      <w:iCs w:val="0"/>
      <w:color w:val="000000"/>
      <w:sz w:val="22"/>
      <w:szCs w:val="22"/>
    </w:rPr>
  </w:style>
  <w:style w:type="character" w:customStyle="1" w:styleId="fontstyle21">
    <w:name w:val="fontstyle21"/>
    <w:basedOn w:val="a0"/>
    <w:rsid w:val="005B4435"/>
    <w:rPr>
      <w:rFonts w:ascii="Times New Roman+FPEF" w:hAnsi="Times New Roman+FPEF" w:hint="default"/>
      <w:b w:val="0"/>
      <w:bCs w:val="0"/>
      <w:i w:val="0"/>
      <w:iCs w:val="0"/>
      <w:color w:val="000000"/>
      <w:sz w:val="22"/>
      <w:szCs w:val="22"/>
    </w:rPr>
  </w:style>
  <w:style w:type="character" w:customStyle="1" w:styleId="fontstyle31">
    <w:name w:val="fontstyle31"/>
    <w:basedOn w:val="a0"/>
    <w:rsid w:val="00095211"/>
    <w:rPr>
      <w:rFonts w:ascii="MT Extra+FPEF" w:hAnsi="MT Extra+FPEF" w:hint="default"/>
      <w:b w:val="0"/>
      <w:bCs w:val="0"/>
      <w:i w:val="0"/>
      <w:iCs w:val="0"/>
      <w:color w:val="000000"/>
      <w:sz w:val="24"/>
      <w:szCs w:val="24"/>
    </w:rPr>
  </w:style>
  <w:style w:type="character" w:styleId="a8">
    <w:name w:val="Hyperlink"/>
    <w:basedOn w:val="a0"/>
    <w:uiPriority w:val="99"/>
    <w:unhideWhenUsed/>
    <w:rsid w:val="005C2837"/>
    <w:rPr>
      <w:color w:val="0563C1" w:themeColor="hyperlink"/>
      <w:u w:val="single"/>
    </w:rPr>
  </w:style>
  <w:style w:type="paragraph" w:styleId="a9">
    <w:name w:val="Normal (Web)"/>
    <w:basedOn w:val="a"/>
    <w:uiPriority w:val="99"/>
    <w:semiHidden/>
    <w:unhideWhenUsed/>
    <w:rsid w:val="004C295F"/>
    <w:pPr>
      <w:spacing w:before="100" w:beforeAutospacing="1" w:after="100" w:afterAutospacing="1" w:line="240" w:lineRule="auto"/>
      <w:ind w:firstLineChars="0" w:firstLine="0"/>
    </w:pPr>
    <w:rPr>
      <w:rFonts w:ascii="宋体" w:eastAsia="宋体" w:hAnsi="宋体" w:cs="宋体"/>
      <w:szCs w:val="24"/>
    </w:rPr>
  </w:style>
  <w:style w:type="character" w:styleId="aa">
    <w:name w:val="Emphasis"/>
    <w:basedOn w:val="a0"/>
    <w:uiPriority w:val="20"/>
    <w:qFormat/>
    <w:rsid w:val="00E40222"/>
    <w:rPr>
      <w:i/>
      <w:iCs/>
    </w:rPr>
  </w:style>
  <w:style w:type="paragraph" w:styleId="HTML">
    <w:name w:val="HTML Preformatted"/>
    <w:basedOn w:val="a"/>
    <w:link w:val="HTML0"/>
    <w:uiPriority w:val="99"/>
    <w:semiHidden/>
    <w:unhideWhenUsed/>
    <w:rsid w:val="001F0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eastAsia="宋体" w:hAnsi="宋体" w:cs="宋体"/>
      <w:szCs w:val="24"/>
    </w:rPr>
  </w:style>
  <w:style w:type="character" w:customStyle="1" w:styleId="HTML0">
    <w:name w:val="HTML 预设格式 字符"/>
    <w:basedOn w:val="a0"/>
    <w:link w:val="HTML"/>
    <w:uiPriority w:val="99"/>
    <w:semiHidden/>
    <w:rsid w:val="001F0489"/>
    <w:rPr>
      <w:rFonts w:ascii="宋体" w:eastAsia="宋体" w:hAnsi="宋体" w:cs="宋体"/>
      <w:sz w:val="24"/>
      <w:szCs w:val="24"/>
    </w:rPr>
  </w:style>
  <w:style w:type="character" w:customStyle="1" w:styleId="kn">
    <w:name w:val="kn"/>
    <w:basedOn w:val="a0"/>
    <w:rsid w:val="001F0489"/>
  </w:style>
  <w:style w:type="character" w:customStyle="1" w:styleId="nn">
    <w:name w:val="nn"/>
    <w:basedOn w:val="a0"/>
    <w:rsid w:val="001F0489"/>
  </w:style>
  <w:style w:type="character" w:customStyle="1" w:styleId="n">
    <w:name w:val="n"/>
    <w:basedOn w:val="a0"/>
    <w:rsid w:val="001F0489"/>
  </w:style>
  <w:style w:type="character" w:customStyle="1" w:styleId="o">
    <w:name w:val="o"/>
    <w:basedOn w:val="a0"/>
    <w:rsid w:val="001F0489"/>
  </w:style>
  <w:style w:type="character" w:customStyle="1" w:styleId="p">
    <w:name w:val="p"/>
    <w:basedOn w:val="a0"/>
    <w:rsid w:val="001F0489"/>
  </w:style>
  <w:style w:type="character" w:customStyle="1" w:styleId="s1">
    <w:name w:val="s1"/>
    <w:basedOn w:val="a0"/>
    <w:rsid w:val="001F0489"/>
  </w:style>
  <w:style w:type="character" w:customStyle="1" w:styleId="kc">
    <w:name w:val="kc"/>
    <w:basedOn w:val="a0"/>
    <w:rsid w:val="001F0489"/>
  </w:style>
  <w:style w:type="character" w:customStyle="1" w:styleId="mi">
    <w:name w:val="mi"/>
    <w:basedOn w:val="a0"/>
    <w:rsid w:val="001F0489"/>
  </w:style>
  <w:style w:type="character" w:customStyle="1" w:styleId="50">
    <w:name w:val="标题 5 字符"/>
    <w:basedOn w:val="a0"/>
    <w:link w:val="5"/>
    <w:uiPriority w:val="9"/>
    <w:rsid w:val="000522C9"/>
    <w:rPr>
      <w:rFonts w:ascii="Times New Roman" w:eastAsia="仿宋" w:hAnsi="Times New Roman" w:cstheme="majorBidi"/>
      <w:sz w:val="24"/>
    </w:rPr>
  </w:style>
  <w:style w:type="character" w:customStyle="1" w:styleId="60">
    <w:name w:val="标题 6 字符"/>
    <w:basedOn w:val="a0"/>
    <w:link w:val="6"/>
    <w:uiPriority w:val="9"/>
    <w:semiHidden/>
    <w:rsid w:val="00BA269A"/>
    <w:rPr>
      <w:rFonts w:asciiTheme="majorHAnsi" w:eastAsiaTheme="majorEastAsia" w:hAnsiTheme="majorHAnsi" w:cstheme="majorBidi"/>
      <w:color w:val="1F4D78" w:themeColor="accent1" w:themeShade="7F"/>
    </w:rPr>
  </w:style>
  <w:style w:type="character" w:customStyle="1" w:styleId="70">
    <w:name w:val="标题 7 字符"/>
    <w:basedOn w:val="a0"/>
    <w:link w:val="7"/>
    <w:uiPriority w:val="9"/>
    <w:semiHidden/>
    <w:rsid w:val="00BA269A"/>
    <w:rPr>
      <w:rFonts w:asciiTheme="majorHAnsi" w:eastAsiaTheme="majorEastAsia" w:hAnsiTheme="majorHAnsi" w:cstheme="majorBidi"/>
      <w:i/>
      <w:iCs/>
      <w:color w:val="1F4D78" w:themeColor="accent1" w:themeShade="7F"/>
    </w:rPr>
  </w:style>
  <w:style w:type="character" w:customStyle="1" w:styleId="80">
    <w:name w:val="标题 8 字符"/>
    <w:basedOn w:val="a0"/>
    <w:link w:val="8"/>
    <w:uiPriority w:val="9"/>
    <w:semiHidden/>
    <w:rsid w:val="00BA269A"/>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rsid w:val="00BA269A"/>
    <w:rPr>
      <w:rFonts w:asciiTheme="majorHAnsi" w:eastAsiaTheme="majorEastAsia" w:hAnsiTheme="majorHAnsi" w:cstheme="majorBidi"/>
      <w:i/>
      <w:iCs/>
      <w:color w:val="272727" w:themeColor="text1" w:themeTint="D8"/>
      <w:sz w:val="21"/>
      <w:szCs w:val="21"/>
    </w:rPr>
  </w:style>
  <w:style w:type="paragraph" w:styleId="ab">
    <w:name w:val="List Paragraph"/>
    <w:basedOn w:val="a"/>
    <w:uiPriority w:val="34"/>
    <w:qFormat/>
    <w:rsid w:val="00CA1BD7"/>
    <w:pPr>
      <w:ind w:firstLine="420"/>
    </w:pPr>
  </w:style>
  <w:style w:type="character" w:styleId="ac">
    <w:name w:val="Strong"/>
    <w:basedOn w:val="a0"/>
    <w:uiPriority w:val="22"/>
    <w:qFormat/>
    <w:rsid w:val="00D017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9051">
      <w:bodyDiv w:val="1"/>
      <w:marLeft w:val="0"/>
      <w:marRight w:val="0"/>
      <w:marTop w:val="0"/>
      <w:marBottom w:val="0"/>
      <w:divBdr>
        <w:top w:val="none" w:sz="0" w:space="0" w:color="auto"/>
        <w:left w:val="none" w:sz="0" w:space="0" w:color="auto"/>
        <w:bottom w:val="none" w:sz="0" w:space="0" w:color="auto"/>
        <w:right w:val="none" w:sz="0" w:space="0" w:color="auto"/>
      </w:divBdr>
    </w:div>
    <w:div w:id="86923423">
      <w:bodyDiv w:val="1"/>
      <w:marLeft w:val="0"/>
      <w:marRight w:val="0"/>
      <w:marTop w:val="0"/>
      <w:marBottom w:val="0"/>
      <w:divBdr>
        <w:top w:val="none" w:sz="0" w:space="0" w:color="auto"/>
        <w:left w:val="none" w:sz="0" w:space="0" w:color="auto"/>
        <w:bottom w:val="none" w:sz="0" w:space="0" w:color="auto"/>
        <w:right w:val="none" w:sz="0" w:space="0" w:color="auto"/>
      </w:divBdr>
    </w:div>
    <w:div w:id="263465845">
      <w:bodyDiv w:val="1"/>
      <w:marLeft w:val="0"/>
      <w:marRight w:val="0"/>
      <w:marTop w:val="0"/>
      <w:marBottom w:val="0"/>
      <w:divBdr>
        <w:top w:val="none" w:sz="0" w:space="0" w:color="auto"/>
        <w:left w:val="none" w:sz="0" w:space="0" w:color="auto"/>
        <w:bottom w:val="none" w:sz="0" w:space="0" w:color="auto"/>
        <w:right w:val="none" w:sz="0" w:space="0" w:color="auto"/>
      </w:divBdr>
      <w:divsChild>
        <w:div w:id="771164595">
          <w:blockQuote w:val="1"/>
          <w:marLeft w:val="360"/>
          <w:marRight w:val="0"/>
          <w:marTop w:val="0"/>
          <w:marBottom w:val="360"/>
          <w:divBdr>
            <w:top w:val="none" w:sz="0" w:space="0" w:color="auto"/>
            <w:left w:val="none" w:sz="0" w:space="0" w:color="auto"/>
            <w:bottom w:val="none" w:sz="0" w:space="0" w:color="auto"/>
            <w:right w:val="none" w:sz="0" w:space="0" w:color="auto"/>
          </w:divBdr>
          <w:divsChild>
            <w:div w:id="3481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61440">
      <w:bodyDiv w:val="1"/>
      <w:marLeft w:val="0"/>
      <w:marRight w:val="0"/>
      <w:marTop w:val="0"/>
      <w:marBottom w:val="0"/>
      <w:divBdr>
        <w:top w:val="none" w:sz="0" w:space="0" w:color="auto"/>
        <w:left w:val="none" w:sz="0" w:space="0" w:color="auto"/>
        <w:bottom w:val="none" w:sz="0" w:space="0" w:color="auto"/>
        <w:right w:val="none" w:sz="0" w:space="0" w:color="auto"/>
      </w:divBdr>
    </w:div>
    <w:div w:id="645359991">
      <w:bodyDiv w:val="1"/>
      <w:marLeft w:val="0"/>
      <w:marRight w:val="0"/>
      <w:marTop w:val="0"/>
      <w:marBottom w:val="0"/>
      <w:divBdr>
        <w:top w:val="none" w:sz="0" w:space="0" w:color="auto"/>
        <w:left w:val="none" w:sz="0" w:space="0" w:color="auto"/>
        <w:bottom w:val="none" w:sz="0" w:space="0" w:color="auto"/>
        <w:right w:val="none" w:sz="0" w:space="0" w:color="auto"/>
      </w:divBdr>
    </w:div>
    <w:div w:id="665398755">
      <w:bodyDiv w:val="1"/>
      <w:marLeft w:val="0"/>
      <w:marRight w:val="0"/>
      <w:marTop w:val="0"/>
      <w:marBottom w:val="0"/>
      <w:divBdr>
        <w:top w:val="none" w:sz="0" w:space="0" w:color="auto"/>
        <w:left w:val="none" w:sz="0" w:space="0" w:color="auto"/>
        <w:bottom w:val="none" w:sz="0" w:space="0" w:color="auto"/>
        <w:right w:val="none" w:sz="0" w:space="0" w:color="auto"/>
      </w:divBdr>
    </w:div>
    <w:div w:id="697238187">
      <w:bodyDiv w:val="1"/>
      <w:marLeft w:val="0"/>
      <w:marRight w:val="0"/>
      <w:marTop w:val="0"/>
      <w:marBottom w:val="0"/>
      <w:divBdr>
        <w:top w:val="none" w:sz="0" w:space="0" w:color="auto"/>
        <w:left w:val="none" w:sz="0" w:space="0" w:color="auto"/>
        <w:bottom w:val="none" w:sz="0" w:space="0" w:color="auto"/>
        <w:right w:val="none" w:sz="0" w:space="0" w:color="auto"/>
      </w:divBdr>
    </w:div>
    <w:div w:id="844784905">
      <w:bodyDiv w:val="1"/>
      <w:marLeft w:val="0"/>
      <w:marRight w:val="0"/>
      <w:marTop w:val="0"/>
      <w:marBottom w:val="0"/>
      <w:divBdr>
        <w:top w:val="none" w:sz="0" w:space="0" w:color="auto"/>
        <w:left w:val="none" w:sz="0" w:space="0" w:color="auto"/>
        <w:bottom w:val="none" w:sz="0" w:space="0" w:color="auto"/>
        <w:right w:val="none" w:sz="0" w:space="0" w:color="auto"/>
      </w:divBdr>
    </w:div>
    <w:div w:id="954170610">
      <w:bodyDiv w:val="1"/>
      <w:marLeft w:val="0"/>
      <w:marRight w:val="0"/>
      <w:marTop w:val="0"/>
      <w:marBottom w:val="0"/>
      <w:divBdr>
        <w:top w:val="none" w:sz="0" w:space="0" w:color="auto"/>
        <w:left w:val="none" w:sz="0" w:space="0" w:color="auto"/>
        <w:bottom w:val="none" w:sz="0" w:space="0" w:color="auto"/>
        <w:right w:val="none" w:sz="0" w:space="0" w:color="auto"/>
      </w:divBdr>
    </w:div>
    <w:div w:id="966544337">
      <w:bodyDiv w:val="1"/>
      <w:marLeft w:val="0"/>
      <w:marRight w:val="0"/>
      <w:marTop w:val="0"/>
      <w:marBottom w:val="0"/>
      <w:divBdr>
        <w:top w:val="none" w:sz="0" w:space="0" w:color="auto"/>
        <w:left w:val="none" w:sz="0" w:space="0" w:color="auto"/>
        <w:bottom w:val="none" w:sz="0" w:space="0" w:color="auto"/>
        <w:right w:val="none" w:sz="0" w:space="0" w:color="auto"/>
      </w:divBdr>
    </w:div>
    <w:div w:id="1482186885">
      <w:bodyDiv w:val="1"/>
      <w:marLeft w:val="0"/>
      <w:marRight w:val="0"/>
      <w:marTop w:val="0"/>
      <w:marBottom w:val="0"/>
      <w:divBdr>
        <w:top w:val="none" w:sz="0" w:space="0" w:color="auto"/>
        <w:left w:val="none" w:sz="0" w:space="0" w:color="auto"/>
        <w:bottom w:val="none" w:sz="0" w:space="0" w:color="auto"/>
        <w:right w:val="none" w:sz="0" w:space="0" w:color="auto"/>
      </w:divBdr>
    </w:div>
    <w:div w:id="1643608969">
      <w:bodyDiv w:val="1"/>
      <w:marLeft w:val="0"/>
      <w:marRight w:val="0"/>
      <w:marTop w:val="0"/>
      <w:marBottom w:val="0"/>
      <w:divBdr>
        <w:top w:val="none" w:sz="0" w:space="0" w:color="auto"/>
        <w:left w:val="none" w:sz="0" w:space="0" w:color="auto"/>
        <w:bottom w:val="none" w:sz="0" w:space="0" w:color="auto"/>
        <w:right w:val="none" w:sz="0" w:space="0" w:color="auto"/>
      </w:divBdr>
      <w:divsChild>
        <w:div w:id="972322547">
          <w:blockQuote w:val="1"/>
          <w:marLeft w:val="360"/>
          <w:marRight w:val="0"/>
          <w:marTop w:val="0"/>
          <w:marBottom w:val="360"/>
          <w:divBdr>
            <w:top w:val="none" w:sz="0" w:space="0" w:color="auto"/>
            <w:left w:val="none" w:sz="0" w:space="0" w:color="auto"/>
            <w:bottom w:val="none" w:sz="0" w:space="0" w:color="auto"/>
            <w:right w:val="none" w:sz="0" w:space="0" w:color="auto"/>
          </w:divBdr>
          <w:divsChild>
            <w:div w:id="17845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9813">
      <w:bodyDiv w:val="1"/>
      <w:marLeft w:val="0"/>
      <w:marRight w:val="0"/>
      <w:marTop w:val="0"/>
      <w:marBottom w:val="0"/>
      <w:divBdr>
        <w:top w:val="none" w:sz="0" w:space="0" w:color="auto"/>
        <w:left w:val="none" w:sz="0" w:space="0" w:color="auto"/>
        <w:bottom w:val="none" w:sz="0" w:space="0" w:color="auto"/>
        <w:right w:val="none" w:sz="0" w:space="0" w:color="auto"/>
      </w:divBdr>
    </w:div>
    <w:div w:id="182203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Yu Zongmin</cp:lastModifiedBy>
  <cp:revision>16</cp:revision>
  <dcterms:created xsi:type="dcterms:W3CDTF">2024-07-05T02:30:00Z</dcterms:created>
  <dcterms:modified xsi:type="dcterms:W3CDTF">2026-08-28T08:57:00Z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ear4Word_StyleTitle">
    <vt:lpwstr>IEEE</vt:lpwstr>
  </property>
</Properties>
</file>