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050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8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1，模式挖掘</w:t>
            </w:r>
            <w:bookmarkStart w:id="0" w:name="_GoBack"/>
            <w:bookmarkEnd w:id="0"/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完成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成果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：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形成一种新的基于模式挖掘的评分填充算法。并在填充后的矩阵的基础上提出了改进的相似度计算方法。</w:t>
            </w:r>
          </w:p>
          <w:p>
            <w:pP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新问题</w:t>
            </w: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：</w:t>
            </w:r>
          </w:p>
          <w:p>
            <w:pP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由于原始矩阵的稀疏，传统的计算相似度的复杂度比较小。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如果直接在填充后的相似度矩阵上使用传统的在线计算，则</w:t>
            </w: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复杂度大大增加。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解决办法</w:t>
            </w: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：填充后的矩阵，对于填充的部分使用</w:t>
            </w: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离线计算，（填充评分属于代替评分，由于无法做到太高的精确性，因此不需要太高的实时性，离线计算比较合适）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13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2，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（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模糊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vertAlign w:val="baseline"/>
              </w:rPr>
              <w:t>）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聚类</w:t>
            </w: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在论文中加入聚类的方法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（创新点，k-means算法初始选中心点的方法）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5" w:hRule="atLeast"/>
        </w:trPr>
        <w:tc>
          <w:tcPr>
            <w:tcW w:w="2313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Idea1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1,选取打分普遍高的用户Uo（积极用户），打分普遍低的用户Up（消极用户），计算出中立用户Un（是计算出来的，实际上不存在）。得到K-means算法初始的三个中心点。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2，执行k-means算法，最终收敛后，得出三个分组。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3，执行模糊k-means算法，得出三个模糊分组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4，计算MAE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313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Idea2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1，计算每个用户的熵，根据熵的分布，选择初始的几个用户作为中心点。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2，进行k-means聚类。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3，计算MAE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3，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用户分组</w:t>
            </w: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4，信息熵（暂不研究）</w:t>
            </w: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参考：基于加权信息熵相似度的协同过滤算法研究--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刘文龙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/>
      <w:r>
        <w:t>记录结果SML1M</w:t>
      </w:r>
    </w:p>
    <w:tbl>
      <w:tblPr>
        <w:tblStyle w:val="6"/>
        <w:tblW w:w="10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73"/>
        <w:gridCol w:w="1044"/>
        <w:gridCol w:w="1356"/>
        <w:gridCol w:w="1376"/>
        <w:gridCol w:w="1014"/>
        <w:gridCol w:w="1051"/>
        <w:gridCol w:w="1032"/>
        <w:gridCol w:w="1031"/>
        <w:gridCol w:w="1032"/>
        <w:gridCol w:w="1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PCC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HybirdSim3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HybirdSim3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K-means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0.90834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0.89441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0.91066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0.89563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0.880</w:t>
            </w:r>
            <w:r>
              <w:rPr>
                <w:rFonts w:hint="default"/>
                <w:vertAlign w:val="baseline"/>
              </w:rPr>
              <w:t>30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0.90367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0.89247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0.87718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0.89795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0.89157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0.87633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0.89785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0.89115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0.87601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0.89406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0.89112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0.87593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0.90019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0.89116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0.87612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0.89176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0.89122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0.87640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0.89809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0.89125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</w:t>
            </w:r>
            <w:r>
              <w:rPr>
                <w:rFonts w:hint="default"/>
                <w:vertAlign w:val="baseline"/>
              </w:rPr>
              <w:t>48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0.90622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0.89127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0.87653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0.89998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</w:tbl>
    <w:p>
      <w:pPr/>
      <w:r>
        <w:t>ML100K</w:t>
      </w:r>
    </w:p>
    <w:tbl>
      <w:tblPr>
        <w:tblStyle w:val="6"/>
        <w:tblW w:w="10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"/>
        <w:gridCol w:w="1044"/>
        <w:gridCol w:w="1356"/>
        <w:gridCol w:w="1376"/>
        <w:gridCol w:w="1014"/>
        <w:gridCol w:w="1051"/>
        <w:gridCol w:w="1032"/>
        <w:gridCol w:w="1031"/>
        <w:gridCol w:w="1032"/>
        <w:gridCol w:w="1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PCC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HybirdSim3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HybirdSim3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K-means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0.81401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0.89441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0.91066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0.78190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0.880</w:t>
            </w:r>
            <w:r>
              <w:rPr>
                <w:rFonts w:hint="default"/>
                <w:vertAlign w:val="baseline"/>
              </w:rPr>
              <w:t>30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0.90367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0.77053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0.87718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0.89795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0.76463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0.87633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0.89785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0.76180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0.87601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0.89406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0.76045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0.87593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0.90019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0.75921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0.87612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0.89176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0.75847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0.87640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0.89809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0.75798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</w:t>
            </w:r>
            <w:r>
              <w:rPr>
                <w:rFonts w:hint="default"/>
                <w:vertAlign w:val="baseline"/>
              </w:rPr>
              <w:t>48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0.90622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0.75774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0.87653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0.89998</w:t>
            </w:r>
          </w:p>
        </w:tc>
        <w:tc>
          <w:tcPr>
            <w:tcW w:w="10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F86A"/>
    <w:rsid w:val="379F1C2A"/>
    <w:rsid w:val="79BF3819"/>
    <w:rsid w:val="7DE753B7"/>
    <w:rsid w:val="7FFAF86A"/>
    <w:rsid w:val="F9FFC0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2017-11-07T10:36:00Z</dcterms:created>
  <dc:creator>ljd</dc:creator>
  <cp:lastModifiedBy>ljd</cp:lastModifiedBy>
  <dcterms:modified xsi:type="dcterms:W3CDTF">2017-11-24T14:48:50Z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