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i w:val="0"/>
          <w:sz w:val="30"/>
        </w:rPr>
        <w:t>先天性心脏病患儿围手术期护理质量评价指标体系的构建</w:t>
      </w:r>
    </w:p>
    <w:p>
      <w:pPr>
        <w:spacing w:after="40"/>
        <w:jc w:val="center"/>
      </w:pPr>
      <w:r>
        <w:rPr>
          <w:rFonts w:ascii="Times New Roman" w:hAnsi="Times New Roman" w:eastAsia="宋体"/>
          <w:b w:val="0"/>
          <w:i w:val="0"/>
          <w:sz w:val="21"/>
        </w:rPr>
        <w:t>张 三，李 四，王 五</w:t>
      </w:r>
    </w:p>
    <w:p>
      <w:pPr>
        <w:spacing w:after="160"/>
        <w:jc w:val="center"/>
      </w:pPr>
      <w:r>
        <w:rPr>
          <w:rFonts w:ascii="Times New Roman" w:hAnsi="Times New Roman" w:eastAsia="宋体"/>
          <w:b w:val="0"/>
          <w:i w:val="0"/>
          <w:sz w:val="18"/>
        </w:rPr>
        <w:t>（某某大学附属医院 心脏外科，北京 100000）</w:t>
      </w:r>
    </w:p>
    <w:p>
      <w:pPr>
        <w:spacing w:after="60"/>
        <w:ind w:firstLine="360"/>
        <w:jc w:val="both"/>
      </w:pPr>
      <w:r>
        <w:rPr>
          <w:rFonts w:ascii="Times New Roman" w:hAnsi="Times New Roman" w:eastAsia="楷体"/>
          <w:b w:val="0"/>
          <w:i w:val="0"/>
          <w:sz w:val="18"/>
        </w:rPr>
        <w:t>【摘要】 目的 构建先天性心脏病患儿围手术期护理质量评价指标体系。方法 采用文献回顾与德尔菲法，对 30 名专家进行两轮函询。结果 最终形成包含 3 个一级指标、12 个二级指标和 46 个三级指标的体系。结论 该指标体系具有较好的科学性与实用性。</w:t>
      </w:r>
    </w:p>
    <w:p>
      <w:pPr>
        <w:spacing w:after="120"/>
        <w:ind w:firstLine="360"/>
        <w:jc w:val="both"/>
        <w:sectPr w:rsidR="00FC693F" w:rsidRPr="0006063C" w:rsidSect="00034616">
          <w:pgSz w:w="11906" w:h="16838"/>
          <w:pgMar w:top="1134" w:right="1247" w:bottom="1134" w:left="1247" w:header="720" w:footer="720" w:gutter="0"/>
          <w:cols w:space="720"/>
          <w:docGrid w:linePitch="360"/>
        </w:sectPr>
      </w:pPr>
      <w:r>
        <w:rPr>
          <w:rFonts w:ascii="Times New Roman" w:hAnsi="Times New Roman" w:eastAsia="楷体"/>
          <w:b w:val="0"/>
          <w:i w:val="0"/>
          <w:sz w:val="18"/>
        </w:rPr>
        <w:t>【关键词】 先天性心脏病；围手术期；护理质量；德尔菲法</w:t>
      </w:r>
    </w:p>
    <w:p>
      <w:pPr>
        <w:spacing w:after="60"/>
      </w:pPr>
      <w:r>
        <w:rPr>
          <w:rFonts w:ascii="Times New Roman" w:hAnsi="Times New Roman" w:eastAsia="黑体"/>
          <w:b/>
          <w:i w:val="0"/>
          <w:sz w:val="24"/>
        </w:rPr>
        <w:t>1　对象与方法</w:t>
      </w:r>
    </w:p>
    <w:p>
      <w:pPr>
        <w:spacing w:after="60"/>
      </w:pPr>
      <w:r>
        <w:rPr>
          <w:rFonts w:ascii="Times New Roman" w:hAnsi="Times New Roman" w:eastAsia="黑体"/>
          <w:b/>
          <w:i w:val="0"/>
          <w:sz w:val="21"/>
        </w:rPr>
        <w:t>1.1　研究对象</w:t>
      </w:r>
    </w:p>
    <w:p>
      <w:pPr>
        <w:spacing w:after="80"/>
        <w:ind w:firstLine="420"/>
      </w:pPr>
      <w:r>
        <w:rPr>
          <w:rFonts w:ascii="Times New Roman" w:hAnsi="Times New Roman" w:eastAsia="宋体"/>
          <w:b w:val="0"/>
          <w:i w:val="0"/>
          <w:sz w:val="21"/>
        </w:rPr>
        <w:t>采用便利抽样法，选取 2024 年 1 月至 2025 年 6 月在我院心脏外科行手术治疗的先天性心脏病患儿 共 216 例作为研究对象。纳入标准：（1）年龄 0～14 岁；（2）经超声心动图确诊；（3）行体外循环下心内直视手术。排除标准：（1）合并其他严重脏器疾病；（2）资料不完整者。本研究经医院伦理委员会审批通过（批号：2024-018）。</w:t>
      </w:r>
    </w:p>
    <w:p>
      <w:pPr>
        <w:spacing w:after="60"/>
      </w:pPr>
      <w:r>
        <w:rPr>
          <w:rFonts w:ascii="Times New Roman" w:hAnsi="Times New Roman" w:eastAsia="黑体"/>
          <w:b/>
          <w:i w:val="0"/>
          <w:sz w:val="21"/>
        </w:rPr>
        <w:t>1.2　研究方法</w:t>
      </w:r>
    </w:p>
    <w:p>
      <w:pPr>
        <w:spacing w:after="80"/>
        <w:ind w:firstLine="420"/>
      </w:pPr>
      <w:r>
        <w:rPr>
          <w:rFonts w:ascii="Times New Roman" w:hAnsi="Times New Roman" w:eastAsia="宋体"/>
          <w:b w:val="0"/>
          <w:i w:val="0"/>
          <w:sz w:val="21"/>
        </w:rPr>
        <w:t>首先通过系统检索中国知网、万方、PubMed 等数据库，检索时限为建库至 2024 年 12 月，初筛获得相关文献 1246 篇，经去重、阅读题目与摘要后纳入 86 篇，最终提取指标条目 78 项。随后采用德尔菲法进行两轮专家函询，专家纳入标准为：本科及以上学历、中级及以上职称、从事儿科心脏专科护理或管理工作 10 年以上。</w:t>
      </w:r>
    </w:p>
    <w:p>
      <w:pPr>
        <w:spacing w:after="80"/>
        <w:ind w:firstLine="420"/>
      </w:pPr>
      <w:r>
        <w:rPr>
          <w:rFonts w:ascii="Times New Roman" w:hAnsi="Times New Roman" w:eastAsia="宋体"/>
          <w:b w:val="0"/>
          <w:i w:val="0"/>
          <w:sz w:val="21"/>
        </w:rPr>
        <w:t>指标重要性采用 Likert 5 级评分法，变异系数（CV）＜0.25 且肯德尔和谐系数 W 检验P＜0.05 表示专家意见趋于一致。</w:t>
      </w:r>
    </w:p>
    <w:p>
      <w:pPr>
        <w:spacing w:after="60"/>
      </w:pPr>
      <w:r>
        <w:rPr>
          <w:rFonts w:ascii="Times New Roman" w:hAnsi="Times New Roman" w:eastAsia="黑体"/>
          <w:b/>
          <w:i w:val="0"/>
          <w:sz w:val="24"/>
        </w:rPr>
        <w:t>2　结果</w:t>
      </w:r>
    </w:p>
    <w:p>
      <w:pPr>
        <w:spacing w:after="60"/>
      </w:pPr>
      <w:r>
        <w:rPr>
          <w:rFonts w:ascii="Times New Roman" w:hAnsi="Times New Roman" w:eastAsia="黑体"/>
          <w:b/>
          <w:i w:val="0"/>
          <w:sz w:val="21"/>
        </w:rPr>
        <w:t>2.1　专家基本情况</w:t>
      </w:r>
    </w:p>
    <w:p>
      <w:pPr>
        <w:spacing w:after="80"/>
        <w:ind w:firstLine="420"/>
      </w:pPr>
      <w:r>
        <w:rPr>
          <w:rFonts w:ascii="Times New Roman" w:hAnsi="Times New Roman" w:eastAsia="宋体"/>
          <w:b w:val="0"/>
          <w:i w:val="0"/>
          <w:sz w:val="21"/>
        </w:rPr>
        <w:t>两轮函询均发放问卷 30 份，回收有效问卷 30 份，有效回收率 100%。专家年龄 （42.6±7.3）岁，工作年限（19.4±6.8）年。</w:t>
      </w:r>
    </w:p>
    <w:p>
      <w:pPr>
        <w:spacing w:after="40"/>
        <w:jc w:val="center"/>
      </w:pPr>
      <w:r>
        <w:rPr>
          <w:rFonts w:ascii="Times New Roman" w:hAnsi="Times New Roman" w:eastAsia="黑体"/>
          <w:b/>
          <w:i w:val="0"/>
          <w:sz w:val="21"/>
        </w:rPr>
        <w:t>表 1　两轮函询专家意见协调程度</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center"/>
            </w:pPr>
            <w:r/>
            <w:r>
              <w:rPr>
                <w:rFonts w:ascii="Times New Roman" w:hAnsi="Times New Roman" w:eastAsia="宋体"/>
                <w:b/>
                <w:i w:val="0"/>
                <w:sz w:val="18"/>
              </w:rPr>
              <w:t>轮次</w:t>
            </w:r>
          </w:p>
        </w:tc>
        <w:tc>
          <w:tcPr>
            <w:tcW w:type="dxa" w:w="2353"/>
          </w:tcPr>
          <w:p>
            <w:pPr>
              <w:jc w:val="center"/>
            </w:pPr>
            <w:r/>
            <w:r>
              <w:rPr>
                <w:rFonts w:ascii="Times New Roman" w:hAnsi="Times New Roman" w:eastAsia="宋体"/>
                <w:b/>
                <w:i w:val="0"/>
                <w:sz w:val="18"/>
              </w:rPr>
              <w:t>指标数</w:t>
            </w:r>
          </w:p>
        </w:tc>
        <w:tc>
          <w:tcPr>
            <w:tcW w:type="dxa" w:w="2353"/>
          </w:tcPr>
          <w:p>
            <w:pPr>
              <w:jc w:val="center"/>
            </w:pPr>
            <w:r/>
            <w:r>
              <w:rPr>
                <w:rFonts w:ascii="Times New Roman" w:hAnsi="Times New Roman" w:eastAsia="宋体"/>
                <w:b/>
                <w:i w:val="0"/>
                <w:sz w:val="18"/>
              </w:rPr>
              <w:t>肯德尔和谐系数 W</w:t>
            </w:r>
          </w:p>
        </w:tc>
        <w:tc>
          <w:tcPr>
            <w:tcW w:type="dxa" w:w="2353"/>
          </w:tcPr>
          <w:p>
            <w:pPr>
              <w:jc w:val="center"/>
            </w:pPr>
            <w:r/>
            <w:r>
              <w:rPr>
                <w:rFonts w:ascii="Times New Roman" w:hAnsi="Times New Roman" w:eastAsia="宋体"/>
                <w:b/>
                <w:i w:val="0"/>
                <w:sz w:val="18"/>
              </w:rPr>
              <w:t>χ² 值</w:t>
            </w:r>
          </w:p>
        </w:tc>
      </w:tr>
      <w:tr>
        <w:tc>
          <w:tcPr>
            <w:tcW w:type="dxa" w:w="2353"/>
          </w:tcPr>
          <w:p>
            <w:pPr>
              <w:jc w:val="center"/>
            </w:pPr>
            <w:r/>
            <w:r>
              <w:rPr>
                <w:rFonts w:ascii="Times New Roman" w:hAnsi="Times New Roman" w:eastAsia="宋体"/>
                <w:b w:val="0"/>
                <w:i w:val="0"/>
                <w:sz w:val="18"/>
              </w:rPr>
              <w:t>第一轮</w:t>
            </w:r>
          </w:p>
        </w:tc>
        <w:tc>
          <w:tcPr>
            <w:tcW w:type="dxa" w:w="2353"/>
          </w:tcPr>
          <w:p>
            <w:pPr>
              <w:jc w:val="center"/>
            </w:pPr>
            <w:r/>
            <w:r>
              <w:rPr>
                <w:rFonts w:ascii="Times New Roman" w:hAnsi="Times New Roman" w:eastAsia="宋体"/>
                <w:b w:val="0"/>
                <w:i w:val="0"/>
                <w:sz w:val="18"/>
              </w:rPr>
              <w:t>78</w:t>
            </w:r>
          </w:p>
        </w:tc>
        <w:tc>
          <w:tcPr>
            <w:tcW w:type="dxa" w:w="2353"/>
          </w:tcPr>
          <w:p>
            <w:pPr>
              <w:jc w:val="center"/>
            </w:pPr>
            <w:r/>
            <w:r>
              <w:rPr>
                <w:rFonts w:ascii="Times New Roman" w:hAnsi="Times New Roman" w:eastAsia="宋体"/>
                <w:b w:val="0"/>
                <w:i w:val="0"/>
                <w:sz w:val="18"/>
              </w:rPr>
              <w:t>0.216</w:t>
            </w:r>
          </w:p>
        </w:tc>
        <w:tc>
          <w:tcPr>
            <w:tcW w:type="dxa" w:w="2353"/>
          </w:tcPr>
          <w:p>
            <w:pPr>
              <w:jc w:val="center"/>
            </w:pPr>
            <w:r/>
            <w:r>
              <w:rPr>
                <w:rFonts w:ascii="Times New Roman" w:hAnsi="Times New Roman" w:eastAsia="宋体"/>
                <w:b w:val="0"/>
                <w:i w:val="0"/>
                <w:sz w:val="18"/>
              </w:rPr>
              <w:t>152.36</w:t>
            </w:r>
          </w:p>
        </w:tc>
      </w:tr>
      <w:tr>
        <w:tc>
          <w:tcPr>
            <w:tcW w:type="dxa" w:w="2353"/>
          </w:tcPr>
          <w:p>
            <w:pPr>
              <w:jc w:val="center"/>
            </w:pPr>
            <w:r/>
            <w:r>
              <w:rPr>
                <w:rFonts w:ascii="Times New Roman" w:hAnsi="Times New Roman" w:eastAsia="宋体"/>
                <w:b w:val="0"/>
                <w:i w:val="0"/>
                <w:sz w:val="18"/>
              </w:rPr>
              <w:t>第二轮</w:t>
            </w:r>
          </w:p>
        </w:tc>
        <w:tc>
          <w:tcPr>
            <w:tcW w:type="dxa" w:w="2353"/>
          </w:tcPr>
          <w:p>
            <w:pPr>
              <w:jc w:val="center"/>
            </w:pPr>
            <w:r/>
            <w:r>
              <w:rPr>
                <w:rFonts w:ascii="Times New Roman" w:hAnsi="Times New Roman" w:eastAsia="宋体"/>
                <w:b w:val="0"/>
                <w:i w:val="0"/>
                <w:sz w:val="18"/>
              </w:rPr>
              <w:t>61</w:t>
            </w:r>
          </w:p>
        </w:tc>
        <w:tc>
          <w:tcPr>
            <w:tcW w:type="dxa" w:w="2353"/>
          </w:tcPr>
          <w:p>
            <w:pPr>
              <w:jc w:val="center"/>
            </w:pPr>
            <w:r/>
            <w:r>
              <w:rPr>
                <w:rFonts w:ascii="Times New Roman" w:hAnsi="Times New Roman" w:eastAsia="宋体"/>
                <w:b w:val="0"/>
                <w:i w:val="0"/>
                <w:sz w:val="18"/>
              </w:rPr>
              <w:t>0.342</w:t>
            </w:r>
          </w:p>
        </w:tc>
        <w:tc>
          <w:tcPr>
            <w:tcW w:type="dxa" w:w="2353"/>
          </w:tcPr>
          <w:p>
            <w:pPr>
              <w:jc w:val="center"/>
            </w:pPr>
            <w:r/>
            <w:r>
              <w:rPr>
                <w:rFonts w:ascii="Times New Roman" w:hAnsi="Times New Roman" w:eastAsia="宋体"/>
                <w:b w:val="0"/>
                <w:i w:val="0"/>
                <w:sz w:val="18"/>
              </w:rPr>
              <w:t>198.74</w:t>
            </w:r>
          </w:p>
        </w:tc>
      </w:tr>
      <w:tr>
        <w:tc>
          <w:tcPr>
            <w:tcW w:type="dxa" w:w="2353"/>
          </w:tcPr>
          <w:p>
            <w:pPr>
              <w:jc w:val="center"/>
            </w:pPr>
            <w:r/>
            <w:r>
              <w:rPr>
                <w:rFonts w:ascii="Times New Roman" w:hAnsi="Times New Roman" w:eastAsia="宋体"/>
                <w:b w:val="0"/>
                <w:i w:val="0"/>
                <w:sz w:val="18"/>
              </w:rPr>
              <w:t>最终</w:t>
            </w:r>
          </w:p>
        </w:tc>
        <w:tc>
          <w:tcPr>
            <w:tcW w:type="dxa" w:w="2353"/>
          </w:tcPr>
          <w:p>
            <w:pPr>
              <w:jc w:val="center"/>
            </w:pPr>
            <w:r/>
            <w:r>
              <w:rPr>
                <w:rFonts w:ascii="Times New Roman" w:hAnsi="Times New Roman" w:eastAsia="宋体"/>
                <w:b w:val="0"/>
                <w:i w:val="0"/>
                <w:sz w:val="18"/>
              </w:rPr>
              <w:t>61</w:t>
            </w:r>
          </w:p>
        </w:tc>
        <w:tc>
          <w:tcPr>
            <w:tcW w:type="dxa" w:w="2353"/>
          </w:tcPr>
          <w:p>
            <w:pPr>
              <w:jc w:val="center"/>
            </w:pPr>
            <w:r/>
            <w:r>
              <w:rPr>
                <w:rFonts w:ascii="Times New Roman" w:hAnsi="Times New Roman" w:eastAsia="宋体"/>
                <w:b w:val="0"/>
                <w:i w:val="0"/>
                <w:sz w:val="18"/>
              </w:rPr>
              <w:t>0.386</w:t>
            </w:r>
          </w:p>
        </w:tc>
        <w:tc>
          <w:tcPr>
            <w:tcW w:type="dxa" w:w="2353"/>
          </w:tcPr>
          <w:p>
            <w:pPr>
              <w:jc w:val="center"/>
            </w:pPr>
            <w:r/>
            <w:r>
              <w:rPr>
                <w:rFonts w:ascii="Times New Roman" w:hAnsi="Times New Roman" w:eastAsia="宋体"/>
                <w:b w:val="0"/>
                <w:i w:val="0"/>
                <w:sz w:val="18"/>
              </w:rPr>
              <w:t>221.05</w:t>
            </w:r>
          </w:p>
        </w:tc>
      </w:tr>
    </w:tbl>
    <w:p>
      <w:pPr>
        <w:spacing w:after="120"/>
      </w:pPr>
      <w:r>
        <w:rPr>
          <w:rFonts w:ascii="Times New Roman" w:hAnsi="Times New Roman" w:eastAsia="宋体"/>
          <w:b w:val="0"/>
          <w:i w:val="0"/>
          <w:sz w:val="16"/>
        </w:rPr>
        <w:t>注：W 值越大表示专家意见协调程度越高。</w:t>
      </w:r>
    </w:p>
    <w:p>
      <w:pPr>
        <w:spacing w:after="60"/>
      </w:pPr>
      <w:r>
        <w:rPr>
          <w:rFonts w:ascii="Times New Roman" w:hAnsi="Times New Roman" w:eastAsia="黑体"/>
          <w:b/>
          <w:i w:val="0"/>
          <w:sz w:val="21"/>
        </w:rPr>
        <w:t>2.2　指标体系构成</w:t>
      </w:r>
    </w:p>
    <w:p>
      <w:pPr>
        <w:spacing w:after="80"/>
        <w:ind w:firstLine="420"/>
      </w:pPr>
      <w:r>
        <w:rPr>
          <w:rFonts w:ascii="Times New Roman" w:hAnsi="Times New Roman" w:eastAsia="宋体"/>
          <w:b w:val="0"/>
          <w:i w:val="0"/>
          <w:sz w:val="21"/>
        </w:rPr>
        <w:t>最终构建的指标体系包含一级指标 3 项（结构质量、过程质量、结果质量），二级指标 12 项，三级指标 46 项。一级指标权重分别为 0.286、0.428 和 0.286。</w:t>
      </w:r>
    </w:p>
    <w:p>
      <w:pPr>
        <w:spacing w:after="60"/>
      </w:pPr>
      <w:r>
        <w:rPr>
          <w:rFonts w:ascii="Times New Roman" w:hAnsi="Times New Roman" w:eastAsia="黑体"/>
          <w:b/>
          <w:i w:val="0"/>
          <w:sz w:val="24"/>
        </w:rPr>
        <w:t>3　讨论</w:t>
      </w:r>
    </w:p>
    <w:p>
      <w:pPr>
        <w:spacing w:after="80"/>
        <w:ind w:firstLine="420"/>
      </w:pPr>
      <w:r>
        <w:rPr>
          <w:rFonts w:ascii="Times New Roman" w:hAnsi="Times New Roman" w:eastAsia="宋体"/>
          <w:b w:val="0"/>
          <w:i w:val="0"/>
          <w:sz w:val="21"/>
        </w:rPr>
        <w:t>本研究基于“结构—过程—结果”三维质量评价理论框架，结合德尔菲法构建了先天性心脏病患儿围手术期护理质量评价指标体系，具有较好的理论依据与实践价值。</w:t>
      </w:r>
    </w:p>
    <w:p>
      <w:pPr>
        <w:spacing w:after="60"/>
      </w:pPr>
      <w:r>
        <w:rPr>
          <w:rFonts w:ascii="Times New Roman" w:hAnsi="Times New Roman" w:eastAsia="黑体"/>
          <w:b/>
          <w:i w:val="0"/>
          <w:sz w:val="24"/>
        </w:rPr>
        <w:t>参考文献</w:t>
      </w:r>
    </w:p>
    <w:p>
      <w:pPr>
        <w:spacing w:after="40"/>
      </w:pPr>
      <w:r>
        <w:rPr>
          <w:rFonts w:ascii="Times New Roman" w:hAnsi="Times New Roman" w:eastAsia="宋体"/>
          <w:b w:val="0"/>
          <w:i w:val="0"/>
          <w:sz w:val="18"/>
        </w:rPr>
        <w:t>[1] 王某某, 李某某. 儿科护理质量评价研究进展[J]. 中华护理杂志, 2023, 58(12): 1495-1500.</w:t>
      </w:r>
    </w:p>
    <w:p>
      <w:pPr>
        <w:spacing w:after="40"/>
      </w:pPr>
      <w:r>
        <w:rPr>
          <w:rFonts w:ascii="Times New Roman" w:hAnsi="Times New Roman" w:eastAsia="宋体"/>
          <w:b w:val="0"/>
          <w:i w:val="0"/>
          <w:sz w:val="18"/>
        </w:rPr>
        <w:t>[2] Donabedian A. The quality of care: how can it be assessed?[J]. JAMA, 1988, 260(12): 1743-1748.</w:t>
      </w:r>
    </w:p>
    <w:p>
      <w:pPr>
        <w:spacing w:after="40"/>
      </w:pPr>
      <w:r>
        <w:rPr>
          <w:rFonts w:ascii="Times New Roman" w:hAnsi="Times New Roman" w:eastAsia="宋体"/>
          <w:b w:val="0"/>
          <w:i w:val="0"/>
          <w:sz w:val="18"/>
        </w:rPr>
        <w:t>[3] 张某, 刘某. 德尔菲法在护理指标构建中的应用[J]. 护理研究, 2022, 36(8): 1402-1406.</w:t>
      </w:r>
    </w:p>
    <w:sectPr w:rsidR="00FC693F" w:rsidRPr="0006063C" w:rsidSect="00034616">
      <w:pgSz w:w="11906" w:h="16838"/>
      <w:pgMar w:top="1134" w:right="1247" w:bottom="1134" w:left="1247"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