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5A6472"/>
          <w:sz w:val="30"/>
          <w:szCs w:val="30"/>
        </w:rPr>
        <w:t xml:space="preserve">TECH 300</w:t>
      </w:r>
    </w:p>
    <w:p>
      <w:pPr>
        <w:spacing w:after="160" w:before="160"/>
        <w:jc w:val="center"/>
      </w:pPr>
      <w:r>
        <w:rPr>
          <w:b/>
          <w:bCs/>
          <w:color w:val="1E2761"/>
          <w:sz w:val="56"/>
          <w:szCs w:val="56"/>
        </w:rPr>
        <w:t xml:space="preserve">End-to-End IoT Demo System</w:t>
      </w:r>
    </w:p>
    <w:p>
      <w:pPr>
        <w:spacing w:after="500"/>
        <w:jc w:val="center"/>
      </w:pPr>
      <w:r>
        <w:rPr>
          <w:b/>
          <w:bCs/>
          <w:color w:val="36454F"/>
          <w:sz w:val="32"/>
          <w:szCs w:val="32"/>
        </w:rPr>
        <w:t xml:space="preserve">Technical Design Document</w:t>
      </w:r>
    </w:p>
    <w:p>
      <w:pPr>
        <w:spacing w:after="40"/>
        <w:jc w:val="center"/>
      </w:pPr>
      <w:r>
        <w:rPr>
          <w:i/>
          <w:iCs/>
          <w:color w:val="5A6472"/>
          <w:sz w:val="22"/>
          <w:szCs w:val="22"/>
        </w:rPr>
        <w:t xml:space="preserve">A Comprehensive Hands-On Course Project</w:t>
      </w:r>
    </w:p>
    <w:p>
      <w:pPr>
        <w:spacing w:after="900"/>
        <w:jc w:val="center"/>
      </w:pPr>
      <w:r>
        <w:rPr>
          <w:color w:val="5A6472"/>
          <w:sz w:val="19"/>
          <w:szCs w:val="19"/>
        </w:rPr>
        <w:t xml:space="preserve">Building an End-to-End IoT Demo System — Sensors → Gateway → AWS Cloud → Mobile App</w:t>
      </w:r>
    </w:p>
    <w:tbl>
      <w:tblPr>
        <w:tblW w:type="dxa" w:w="8600"/>
        <w:jc w:val="center"/>
        <w:tblBorders>
          <w:top w:val="single" w:color="C9D3E0" w:sz="4"/>
          <w:left w:val="single" w:color="C9D3E0" w:sz="4"/>
          <w:bottom w:val="single" w:color="C9D3E0" w:sz="4"/>
          <w:right w:val="single" w:color="C9D3E0" w:sz="4"/>
          <w:insideH w:val="single" w:color="C9D3E0" w:sz="4"/>
          <w:insideV w:val="single" w:color="C9D3E0" w:sz="4"/>
        </w:tblBorders>
      </w:tblPr>
      <w:tblGrid>
        <w:gridCol w:w="2800"/>
        <w:gridCol w:w="5800"/>
      </w:tblGrid>
      <w:tr>
        <w:tc>
          <w:tcPr>
            <w:tcW w:type="dxa" w:w="2800"/>
            <w:tcMar>
              <w:top w:type="dxa" w:w="100"/>
              <w:left w:type="dxa" w:w="140"/>
              <w:bottom w:type="dxa" w:w="100"/>
              <w:right w:type="dxa" w:w="140"/>
            </w:tcMar>
            <w:vAlign w:val="center"/>
          </w:tcPr>
          <w:p>
            <w:pPr>
              <w:jc w:val="left"/>
            </w:pPr>
            <w:r>
              <w:rPr>
                <w:b/>
                <w:bCs/>
                <w:color w:val="1E2761"/>
                <w:sz w:val="19"/>
                <w:szCs w:val="19"/>
              </w:rPr>
              <w:t xml:space="preserve">Course</w:t>
            </w:r>
          </w:p>
        </w:tc>
        <w:tc>
          <w:tcPr>
            <w:tcW w:type="dxa" w:w="5800"/>
            <w:tcMar>
              <w:top w:type="dxa" w:w="100"/>
              <w:left w:type="dxa" w:w="140"/>
              <w:bottom w:type="dxa" w:w="100"/>
              <w:right w:type="dxa" w:w="140"/>
            </w:tcMar>
            <w:vAlign w:val="center"/>
          </w:tcPr>
          <w:p>
            <w:pPr>
              <w:jc w:val="left"/>
            </w:pPr>
            <w:r>
              <w:rPr>
                <w:b w:val="false"/>
                <w:bCs w:val="false"/>
                <w:color w:val="222222"/>
                <w:sz w:val="19"/>
                <w:szCs w:val="19"/>
              </w:rPr>
              <w:t xml:space="preserve">TECH 300 – Internet of Things</w:t>
            </w:r>
          </w:p>
        </w:tc>
      </w:tr>
      <w:tr>
        <w:tc>
          <w:tcPr>
            <w:tcW w:type="dxa" w:w="2800"/>
            <w:tcMar>
              <w:top w:type="dxa" w:w="100"/>
              <w:left w:type="dxa" w:w="140"/>
              <w:bottom w:type="dxa" w:w="100"/>
              <w:right w:type="dxa" w:w="140"/>
            </w:tcMar>
            <w:vAlign w:val="center"/>
          </w:tcPr>
          <w:p>
            <w:pPr>
              <w:jc w:val="left"/>
            </w:pPr>
            <w:r>
              <w:rPr>
                <w:b/>
                <w:bCs/>
                <w:color w:val="1E2761"/>
                <w:sz w:val="19"/>
                <w:szCs w:val="19"/>
              </w:rPr>
              <w:t xml:space="preserve">Institution</w:t>
            </w:r>
          </w:p>
        </w:tc>
        <w:tc>
          <w:tcPr>
            <w:tcW w:type="dxa" w:w="5800"/>
            <w:tcMar>
              <w:top w:type="dxa" w:w="100"/>
              <w:left w:type="dxa" w:w="140"/>
              <w:bottom w:type="dxa" w:w="100"/>
              <w:right w:type="dxa" w:w="140"/>
            </w:tcMar>
            <w:vAlign w:val="center"/>
          </w:tcPr>
          <w:p>
            <w:pPr>
              <w:jc w:val="left"/>
            </w:pPr>
            <w:r>
              <w:rPr>
                <w:b w:val="false"/>
                <w:bCs w:val="false"/>
                <w:color w:val="222222"/>
                <w:sz w:val="19"/>
                <w:szCs w:val="19"/>
              </w:rPr>
              <w:t xml:space="preserve">Westcliff University</w:t>
            </w:r>
          </w:p>
        </w:tc>
      </w:tr>
      <w:tr>
        <w:tc>
          <w:tcPr>
            <w:tcW w:type="dxa" w:w="2800"/>
            <w:tcMar>
              <w:top w:type="dxa" w:w="100"/>
              <w:left w:type="dxa" w:w="140"/>
              <w:bottom w:type="dxa" w:w="100"/>
              <w:right w:type="dxa" w:w="140"/>
            </w:tcMar>
            <w:vAlign w:val="center"/>
          </w:tcPr>
          <w:p>
            <w:pPr>
              <w:jc w:val="left"/>
            </w:pPr>
            <w:r>
              <w:rPr>
                <w:b/>
                <w:bCs/>
                <w:color w:val="1E2761"/>
                <w:sz w:val="19"/>
                <w:szCs w:val="19"/>
              </w:rPr>
              <w:t xml:space="preserve">Instructor</w:t>
            </w:r>
          </w:p>
        </w:tc>
        <w:tc>
          <w:tcPr>
            <w:tcW w:type="dxa" w:w="5800"/>
            <w:tcMar>
              <w:top w:type="dxa" w:w="100"/>
              <w:left w:type="dxa" w:w="140"/>
              <w:bottom w:type="dxa" w:w="100"/>
              <w:right w:type="dxa" w:w="140"/>
            </w:tcMar>
            <w:vAlign w:val="center"/>
          </w:tcPr>
          <w:p>
            <w:pPr>
              <w:jc w:val="left"/>
            </w:pPr>
            <w:r>
              <w:rPr>
                <w:b w:val="false"/>
                <w:bCs w:val="false"/>
                <w:color w:val="222222"/>
                <w:sz w:val="19"/>
                <w:szCs w:val="19"/>
              </w:rPr>
              <w:t xml:space="preserve">Professor Liang Li</w:t>
            </w:r>
          </w:p>
        </w:tc>
      </w:tr>
      <w:tr>
        <w:tc>
          <w:tcPr>
            <w:tcW w:type="dxa" w:w="2800"/>
            <w:tcMar>
              <w:top w:type="dxa" w:w="100"/>
              <w:left w:type="dxa" w:w="140"/>
              <w:bottom w:type="dxa" w:w="100"/>
              <w:right w:type="dxa" w:w="140"/>
            </w:tcMar>
            <w:vAlign w:val="center"/>
          </w:tcPr>
          <w:p>
            <w:pPr>
              <w:jc w:val="left"/>
            </w:pPr>
            <w:r>
              <w:rPr>
                <w:b/>
                <w:bCs/>
                <w:color w:val="1E2761"/>
                <w:sz w:val="19"/>
                <w:szCs w:val="19"/>
              </w:rPr>
              <w:t xml:space="preserve">Document Type</w:t>
            </w:r>
          </w:p>
        </w:tc>
        <w:tc>
          <w:tcPr>
            <w:tcW w:type="dxa" w:w="5800"/>
            <w:tcMar>
              <w:top w:type="dxa" w:w="100"/>
              <w:left w:type="dxa" w:w="140"/>
              <w:bottom w:type="dxa" w:w="100"/>
              <w:right w:type="dxa" w:w="140"/>
            </w:tcMar>
            <w:vAlign w:val="center"/>
          </w:tcPr>
          <w:p>
            <w:pPr>
              <w:jc w:val="left"/>
            </w:pPr>
            <w:r>
              <w:rPr>
                <w:b w:val="false"/>
                <w:bCs w:val="false"/>
                <w:color w:val="222222"/>
                <w:sz w:val="19"/>
                <w:szCs w:val="19"/>
              </w:rPr>
              <w:t xml:space="preserve">Technical Design Document (Instructor Reference Guide)</w:t>
            </w:r>
          </w:p>
        </w:tc>
      </w:tr>
      <w:tr>
        <w:tc>
          <w:tcPr>
            <w:tcW w:type="dxa" w:w="2800"/>
            <w:tcMar>
              <w:top w:type="dxa" w:w="100"/>
              <w:left w:type="dxa" w:w="140"/>
              <w:bottom w:type="dxa" w:w="100"/>
              <w:right w:type="dxa" w:w="140"/>
            </w:tcMar>
            <w:vAlign w:val="center"/>
          </w:tcPr>
          <w:p>
            <w:pPr>
              <w:jc w:val="left"/>
            </w:pPr>
            <w:r>
              <w:rPr>
                <w:b/>
                <w:bCs/>
                <w:color w:val="1E2761"/>
                <w:sz w:val="19"/>
                <w:szCs w:val="19"/>
              </w:rPr>
              <w:t xml:space="preserve">Related Milestone</w:t>
            </w:r>
          </w:p>
        </w:tc>
        <w:tc>
          <w:tcPr>
            <w:tcW w:type="dxa" w:w="5800"/>
            <w:tcMar>
              <w:top w:type="dxa" w:w="100"/>
              <w:left w:type="dxa" w:w="140"/>
              <w:bottom w:type="dxa" w:w="100"/>
              <w:right w:type="dxa" w:w="140"/>
            </w:tcMar>
            <w:vAlign w:val="center"/>
          </w:tcPr>
          <w:p>
            <w:pPr>
              <w:jc w:val="left"/>
            </w:pPr>
            <w:r>
              <w:rPr>
                <w:b w:val="false"/>
                <w:bCs w:val="false"/>
                <w:color w:val="222222"/>
                <w:sz w:val="19"/>
                <w:szCs w:val="19"/>
              </w:rPr>
              <w:t xml:space="preserve">Week 7–8 Hands-On Project &amp; Summative Assessment</w:t>
            </w:r>
          </w:p>
        </w:tc>
      </w:tr>
      <w:tr>
        <w:tc>
          <w:tcPr>
            <w:tcW w:type="dxa" w:w="2800"/>
            <w:tcMar>
              <w:top w:type="dxa" w:w="100"/>
              <w:left w:type="dxa" w:w="140"/>
              <w:bottom w:type="dxa" w:w="100"/>
              <w:right w:type="dxa" w:w="140"/>
            </w:tcMar>
            <w:vAlign w:val="center"/>
          </w:tcPr>
          <w:p>
            <w:pPr>
              <w:jc w:val="left"/>
            </w:pPr>
            <w:r>
              <w:rPr>
                <w:b/>
                <w:bCs/>
                <w:color w:val="1E2761"/>
                <w:sz w:val="19"/>
                <w:szCs w:val="19"/>
              </w:rPr>
              <w:t xml:space="preserve">Version</w:t>
            </w:r>
          </w:p>
        </w:tc>
        <w:tc>
          <w:tcPr>
            <w:tcW w:type="dxa" w:w="5800"/>
            <w:tcMar>
              <w:top w:type="dxa" w:w="100"/>
              <w:left w:type="dxa" w:w="140"/>
              <w:bottom w:type="dxa" w:w="100"/>
              <w:right w:type="dxa" w:w="140"/>
            </w:tcMar>
            <w:vAlign w:val="center"/>
          </w:tcPr>
          <w:p>
            <w:pPr>
              <w:jc w:val="left"/>
            </w:pPr>
            <w:r>
              <w:rPr>
                <w:b w:val="false"/>
                <w:bCs w:val="false"/>
                <w:color w:val="222222"/>
                <w:sz w:val="19"/>
                <w:szCs w:val="19"/>
              </w:rPr>
              <w:t xml:space="preserve">1.0</w:t>
            </w:r>
          </w:p>
        </w:tc>
      </w:tr>
      <w:tr>
        <w:tc>
          <w:tcPr>
            <w:tcW w:type="dxa" w:w="2800"/>
            <w:tcMar>
              <w:top w:type="dxa" w:w="100"/>
              <w:left w:type="dxa" w:w="140"/>
              <w:bottom w:type="dxa" w:w="100"/>
              <w:right w:type="dxa" w:w="140"/>
            </w:tcMar>
            <w:vAlign w:val="center"/>
          </w:tcPr>
          <w:p>
            <w:pPr>
              <w:jc w:val="left"/>
            </w:pPr>
            <w:r>
              <w:rPr>
                <w:b/>
                <w:bCs/>
                <w:color w:val="1E2761"/>
                <w:sz w:val="19"/>
                <w:szCs w:val="19"/>
              </w:rPr>
              <w:t xml:space="preserve">Date</w:t>
            </w:r>
          </w:p>
        </w:tc>
        <w:tc>
          <w:tcPr>
            <w:tcW w:type="dxa" w:w="5800"/>
            <w:tcMar>
              <w:top w:type="dxa" w:w="100"/>
              <w:left w:type="dxa" w:w="140"/>
              <w:bottom w:type="dxa" w:w="100"/>
              <w:right w:type="dxa" w:w="140"/>
            </w:tcMar>
            <w:vAlign w:val="center"/>
          </w:tcPr>
          <w:p>
            <w:pPr>
              <w:jc w:val="left"/>
            </w:pPr>
            <w:r>
              <w:rPr>
                <w:b w:val="false"/>
                <w:bCs w:val="false"/>
                <w:color w:val="222222"/>
                <w:sz w:val="19"/>
                <w:szCs w:val="19"/>
              </w:rPr>
              <w:t xml:space="preserve">September 2026</w:t>
            </w:r>
          </w:p>
        </w:tc>
      </w:tr>
    </w:tbl>
    <w:p>
      <w:r>
        <w:br w:type="page"/>
      </w:r>
    </w:p>
    <w:p>
      <w:pPr>
        <w:pStyle w:val="Heading1"/>
        <w:pBdr>
          <w:bottom w:val="single" w:color="C9D3E0" w:sz="6" w:space="6"/>
        </w:pBdr>
        <w:spacing w:after="200" w:before="420"/>
      </w:pPr>
      <w:r>
        <w:rPr>
          <w:b/>
          <w:bCs/>
          <w:color w:val="1E2761"/>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9D3E0" w:sz="6" w:space="6"/>
        </w:pBdr>
        <w:spacing w:after="200" w:before="420"/>
      </w:pPr>
      <w:r>
        <w:rPr>
          <w:b/>
          <w:bCs/>
          <w:color w:val="1E2761"/>
          <w:sz w:val="30"/>
          <w:szCs w:val="30"/>
        </w:rPr>
        <w:t xml:space="preserve">1. Introduction and Project Objectives</w:t>
      </w:r>
    </w:p>
    <w:p>
      <w:pPr>
        <w:spacing w:after="160" w:line="276"/>
        <w:jc w:val="left"/>
      </w:pPr>
      <w:r>
        <w:rPr>
          <w:color w:val="222222"/>
          <w:sz w:val="21"/>
          <w:szCs w:val="21"/>
        </w:rPr>
        <w:t xml:space="preserve">This document is the technical design reference for the TECH 300 hands-on course project: a working, end-to-end Internet of Things (IoT) demonstration system that students design, build, and operate over the course of the term. Rather than treating IoT as a single technology, the project is deliberately scoped to touch every tier of a production IoT stack — embedded firmware, short-range wireless networking, edge computing, cloud services, and a native mobile client — so that students leave the course with practical, integration-level experience rather than isolated, single-layer knowledge.</w:t>
      </w:r>
    </w:p>
    <w:p>
      <w:pPr>
        <w:spacing w:after="160" w:line="276"/>
        <w:jc w:val="left"/>
      </w:pPr>
      <w:r>
        <w:rPr>
          <w:color w:val="222222"/>
          <w:sz w:val="21"/>
          <w:szCs w:val="21"/>
        </w:rPr>
        <w:t xml:space="preserve">The system to be built captures environmental and kinetic telemetry from one or more battery-powered sensor nodes, relays it through a local edge gateway into Amazon Web Services (AWS), and exposes it to an Android application that can both visualize live data and issue control (actuation) commands back down to the hardware. The project therefore exercises sensing, networking, cloud architecture, security, and mobile development within a single, coherent build.</w:t>
      </w:r>
    </w:p>
    <w:p>
      <w:pPr>
        <w:pStyle w:val="Heading2"/>
        <w:spacing w:after="140" w:before="300"/>
      </w:pPr>
      <w:r>
        <w:rPr>
          <w:b/>
          <w:bCs/>
          <w:color w:val="1E2761"/>
          <w:sz w:val="24"/>
          <w:szCs w:val="24"/>
        </w:rPr>
        <w:t xml:space="preserve">1.1 Learning Objectives</w:t>
      </w:r>
    </w:p>
    <w:p>
      <w:pPr>
        <w:pStyle w:val="ListParagraph"/>
        <w:numPr>
          <w:ilvl w:val="0"/>
          <w:numId w:val="2"/>
        </w:numPr>
        <w:spacing w:after="90" w:line="268"/>
      </w:pPr>
      <w:r>
        <w:rPr>
          <w:color w:val="222222"/>
          <w:sz w:val="21"/>
          <w:szCs w:val="21"/>
        </w:rPr>
        <w:t xml:space="preserve">Select and justify appropriate microcontroller, sensor, and power hardware for a constrained IoT end device.</w:t>
      </w:r>
    </w:p>
    <w:p>
      <w:pPr>
        <w:pStyle w:val="ListParagraph"/>
        <w:numPr>
          <w:ilvl w:val="0"/>
          <w:numId w:val="2"/>
        </w:numPr>
        <w:spacing w:after="90" w:line="268"/>
      </w:pPr>
      <w:r>
        <w:rPr>
          <w:color w:val="222222"/>
          <w:sz w:val="21"/>
          <w:szCs w:val="21"/>
        </w:rPr>
        <w:t xml:space="preserve">Evaluate short-range wireless protocols (BLE, Wi-Fi, Zigbee, LoRaWAN) against the power, range, and throughput needs of a real application.</w:t>
      </w:r>
    </w:p>
    <w:p>
      <w:pPr>
        <w:pStyle w:val="ListParagraph"/>
        <w:numPr>
          <w:ilvl w:val="0"/>
          <w:numId w:val="2"/>
        </w:numPr>
        <w:spacing w:after="90" w:line="268"/>
      </w:pPr>
      <w:r>
        <w:rPr>
          <w:color w:val="222222"/>
          <w:sz w:val="21"/>
          <w:szCs w:val="21"/>
        </w:rPr>
        <w:t xml:space="preserve">Implement an edge gateway that performs protocol translation between a local wireless network and a secure, internet-facing MQTT connection.</w:t>
      </w:r>
    </w:p>
    <w:p>
      <w:pPr>
        <w:pStyle w:val="ListParagraph"/>
        <w:numPr>
          <w:ilvl w:val="0"/>
          <w:numId w:val="2"/>
        </w:numPr>
        <w:spacing w:after="90" w:line="268"/>
      </w:pPr>
      <w:r>
        <w:rPr>
          <w:color w:val="222222"/>
          <w:sz w:val="21"/>
          <w:szCs w:val="21"/>
        </w:rPr>
        <w:t xml:space="preserve">Configure AWS IoT Core, including device provisioning, X.509 certificate-based mutual TLS, and rules-based message routing to storage and compute.</w:t>
      </w:r>
    </w:p>
    <w:p>
      <w:pPr>
        <w:pStyle w:val="ListParagraph"/>
        <w:numPr>
          <w:ilvl w:val="0"/>
          <w:numId w:val="2"/>
        </w:numPr>
        <w:spacing w:after="90" w:line="268"/>
      </w:pPr>
      <w:r>
        <w:rPr>
          <w:color w:val="222222"/>
          <w:sz w:val="21"/>
          <w:szCs w:val="21"/>
        </w:rPr>
        <w:t xml:space="preserve">Build a native Android client that consumes both real-time (MQTT/WebSocket) and historical (REST) data paths, and can issue reverse-control commands to the field hardware.</w:t>
      </w:r>
    </w:p>
    <w:p>
      <w:pPr>
        <w:pStyle w:val="ListParagraph"/>
        <w:numPr>
          <w:ilvl w:val="0"/>
          <w:numId w:val="2"/>
        </w:numPr>
        <w:spacing w:after="90" w:line="268"/>
      </w:pPr>
      <w:r>
        <w:rPr>
          <w:color w:val="222222"/>
          <w:sz w:val="21"/>
          <w:szCs w:val="21"/>
        </w:rPr>
        <w:t xml:space="preserve">Reason about IoT security end to end: link-layer encryption, transport-layer mutual TLS, and least-privilege cloud authorization.</w:t>
      </w:r>
    </w:p>
    <w:p>
      <w:pPr>
        <w:spacing w:after="60"/>
      </w:pPr>
    </w:p>
    <w:tbl>
      <w:tblPr>
        <w:tblW w:type="pct" w:w="100%"/>
        <w:tblBorders>
          <w:top w:val="single" w:color="1E2761" w:sz="4"/>
          <w:left w:val="single" w:color="1E2761" w:sz="4"/>
          <w:bottom w:val="single" w:color="1E2761" w:sz="4"/>
          <w:right w:val="single" w:color="1E2761" w:sz="4"/>
          <w:insideH w:val="none" w:color="FFFFFF" w:sz="0"/>
          <w:insideV w:val="none" w:color="FFFFFF" w:sz="0"/>
        </w:tblBorders>
      </w:tblPr>
      <w:tblGrid>
        <w:gridCol w:w="100"/>
      </w:tblGrid>
      <w:tr>
        <w:tc>
          <w:tcPr>
            <w:shd w:fill="F2F5FC" w:val="clear"/>
            <w:tcMar>
              <w:top w:type="dxa" w:w="160"/>
              <w:left w:type="dxa" w:w="220"/>
              <w:bottom w:type="dxa" w:w="160"/>
              <w:right w:type="dxa" w:w="220"/>
            </w:tcMar>
          </w:tcPr>
          <w:p>
            <w:pPr>
              <w:spacing w:after="80"/>
            </w:pPr>
            <w:r>
              <w:rPr>
                <w:b/>
                <w:bCs/>
                <w:color w:val="1E2761"/>
                <w:sz w:val="21"/>
                <w:szCs w:val="21"/>
              </w:rPr>
              <w:t xml:space="preserve">Document Purpose</w:t>
            </w:r>
          </w:p>
          <w:p>
            <w:pPr>
              <w:spacing w:after="0" w:line="268"/>
            </w:pPr>
            <w:r>
              <w:rPr>
                <w:color w:val="222222"/>
                <w:sz w:val="21"/>
                <w:szCs w:val="21"/>
              </w:rPr>
              <w:t xml:space="preserve">This guide consolidates the architecture, hardware/software bill of materials, protocol decisions, security model, and demo verification procedure used to deliver the Week 7–8 hands-on project and summative assessment. It is intended as a build reference for students and a grading/verification reference for instructors.</w:t>
            </w:r>
          </w:p>
        </w:tc>
      </w:tr>
    </w:tbl>
    <w:p>
      <w:pPr>
        <w:pStyle w:val="Heading1"/>
        <w:pBdr>
          <w:bottom w:val="single" w:color="C9D3E0" w:sz="6" w:space="6"/>
        </w:pBdr>
        <w:spacing w:after="200" w:before="420"/>
      </w:pPr>
      <w:r>
        <w:rPr>
          <w:b/>
          <w:bCs/>
          <w:color w:val="1E2761"/>
          <w:sz w:val="30"/>
          <w:szCs w:val="30"/>
        </w:rPr>
        <w:t xml:space="preserve">2. System Architecture Overview</w:t>
      </w:r>
    </w:p>
    <w:p>
      <w:pPr>
        <w:spacing w:after="160" w:line="276"/>
        <w:jc w:val="left"/>
      </w:pPr>
      <w:r>
        <w:rPr>
          <w:color w:val="222222"/>
          <w:sz w:val="21"/>
          <w:szCs w:val="21"/>
        </w:rPr>
        <w:t xml:space="preserve">The system follows a standard five-tier IoT reference architecture. Data originates at the physical sensor and flows, tier by tier, toward the presentation layer; control commands flow in the opposite direction. Each tier exists to solve a specific constraint — power, range, protocol compatibility, or security — that the tier below it cannot solve on its own.</w:t>
      </w:r>
    </w:p>
    <w:p>
      <w:pPr>
        <w:spacing w:after="80" w:before="12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228850"/>
                    </a:xfrm>
                    <a:prstGeom prst="rect">
                      <a:avLst/>
                    </a:prstGeom>
                  </pic:spPr>
                </pic:pic>
              </a:graphicData>
            </a:graphic>
          </wp:inline>
        </w:drawing>
      </w:r>
    </w:p>
    <w:p>
      <w:pPr>
        <w:spacing w:after="220"/>
        <w:jc w:val="center"/>
      </w:pPr>
      <w:r>
        <w:rPr>
          <w:i/>
          <w:iCs/>
          <w:color w:val="5A6472"/>
          <w:sz w:val="18"/>
          <w:szCs w:val="18"/>
        </w:rPr>
        <w:t xml:space="preserve">Figure 1. High-level system topology — sensor/actuator nodes communicate over a short-range wireless link to a gateway, which bridges to the internet cloud and, from there, to mobile and desktop clients.</w:t>
      </w:r>
    </w:p>
    <w:tbl>
      <w:tblPr>
        <w:tblW w:type="dxa" w:w="9400"/>
        <w:tblBorders>
          <w:top w:val="single" w:color="C9D3E0" w:sz="4"/>
          <w:left w:val="single" w:color="C9D3E0" w:sz="4"/>
          <w:bottom w:val="single" w:color="C9D3E0" w:sz="4"/>
          <w:right w:val="single" w:color="C9D3E0" w:sz="4"/>
          <w:insideH w:val="single" w:color="C9D3E0" w:sz="4"/>
          <w:insideV w:val="single" w:color="C9D3E0" w:sz="4"/>
        </w:tblBorders>
      </w:tblPr>
      <w:tblGrid>
        <w:gridCol w:w="900"/>
        <w:gridCol w:w="2600"/>
        <w:gridCol w:w="5900"/>
      </w:tblGrid>
      <w:tr>
        <w:trPr>
          <w:tblHeader/>
        </w:trPr>
        <w:tc>
          <w:tcPr>
            <w:tcW w:type="dxa" w:w="900"/>
            <w:shd w:fill="1E2761" w:val="clear"/>
            <w:tcMar>
              <w:top w:type="dxa" w:w="100"/>
              <w:left w:type="dxa" w:w="140"/>
              <w:bottom w:type="dxa" w:w="100"/>
              <w:right w:type="dxa" w:w="140"/>
            </w:tcMar>
            <w:vAlign w:val="center"/>
          </w:tcPr>
          <w:p>
            <w:pPr>
              <w:jc w:val="left"/>
            </w:pPr>
            <w:r>
              <w:rPr>
                <w:b/>
                <w:bCs/>
                <w:color w:val="FFFFFF"/>
                <w:sz w:val="19"/>
                <w:szCs w:val="19"/>
              </w:rPr>
              <w:t xml:space="preserve">Tier</w:t>
            </w:r>
          </w:p>
        </w:tc>
        <w:tc>
          <w:tcPr>
            <w:tcW w:type="dxa" w:w="2600"/>
            <w:shd w:fill="1E2761" w:val="clear"/>
            <w:tcMar>
              <w:top w:type="dxa" w:w="100"/>
              <w:left w:type="dxa" w:w="140"/>
              <w:bottom w:type="dxa" w:w="100"/>
              <w:right w:type="dxa" w:w="140"/>
            </w:tcMar>
            <w:vAlign w:val="center"/>
          </w:tcPr>
          <w:p>
            <w:pPr>
              <w:jc w:val="left"/>
            </w:pPr>
            <w:r>
              <w:rPr>
                <w:b/>
                <w:bCs/>
                <w:color w:val="FFFFFF"/>
                <w:sz w:val="19"/>
                <w:szCs w:val="19"/>
              </w:rPr>
              <w:t xml:space="preserve">Name</w:t>
            </w:r>
          </w:p>
        </w:tc>
        <w:tc>
          <w:tcPr>
            <w:tcW w:type="dxa" w:w="5900"/>
            <w:shd w:fill="1E2761" w:val="clear"/>
            <w:tcMar>
              <w:top w:type="dxa" w:w="100"/>
              <w:left w:type="dxa" w:w="140"/>
              <w:bottom w:type="dxa" w:w="100"/>
              <w:right w:type="dxa" w:w="140"/>
            </w:tcMar>
            <w:vAlign w:val="center"/>
          </w:tcPr>
          <w:p>
            <w:pPr>
              <w:jc w:val="left"/>
            </w:pPr>
            <w:r>
              <w:rPr>
                <w:b/>
                <w:bCs/>
                <w:color w:val="FFFFFF"/>
                <w:sz w:val="19"/>
                <w:szCs w:val="19"/>
              </w:rPr>
              <w:t xml:space="preserve">Responsibility</w:t>
            </w:r>
          </w:p>
        </w:tc>
      </w:tr>
      <w:tr>
        <w:tc>
          <w:tcPr>
            <w:tcW w:type="dxa" w:w="900"/>
            <w:tcMar>
              <w:top w:type="dxa" w:w="100"/>
              <w:left w:type="dxa" w:w="140"/>
              <w:bottom w:type="dxa" w:w="100"/>
              <w:right w:type="dxa" w:w="140"/>
            </w:tcMar>
            <w:vAlign w:val="center"/>
          </w:tcPr>
          <w:p>
            <w:pPr>
              <w:jc w:val="left"/>
            </w:pPr>
            <w:r>
              <w:rPr>
                <w:b w:val="false"/>
                <w:bCs w:val="false"/>
                <w:color w:val="222222"/>
                <w:sz w:val="19"/>
                <w:szCs w:val="19"/>
              </w:rPr>
              <w:t xml:space="preserve">1</w:t>
            </w:r>
          </w:p>
        </w:tc>
        <w:tc>
          <w:tcPr>
            <w:tcW w:type="dxa" w:w="2600"/>
            <w:tcMar>
              <w:top w:type="dxa" w:w="100"/>
              <w:left w:type="dxa" w:w="140"/>
              <w:bottom w:type="dxa" w:w="100"/>
              <w:right w:type="dxa" w:w="140"/>
            </w:tcMar>
            <w:vAlign w:val="center"/>
          </w:tcPr>
          <w:p>
            <w:pPr>
              <w:jc w:val="left"/>
            </w:pPr>
            <w:r>
              <w:rPr>
                <w:b w:val="false"/>
                <w:bCs w:val="false"/>
                <w:color w:val="222222"/>
                <w:sz w:val="19"/>
                <w:szCs w:val="19"/>
              </w:rPr>
              <w:t xml:space="preserve">Perception Layer</w:t>
            </w:r>
          </w:p>
        </w:tc>
        <w:tc>
          <w:tcPr>
            <w:tcW w:type="dxa" w:w="5900"/>
            <w:tcMar>
              <w:top w:type="dxa" w:w="100"/>
              <w:left w:type="dxa" w:w="140"/>
              <w:bottom w:type="dxa" w:w="100"/>
              <w:right w:type="dxa" w:w="140"/>
            </w:tcMar>
            <w:vAlign w:val="center"/>
          </w:tcPr>
          <w:p>
            <w:pPr>
              <w:jc w:val="left"/>
            </w:pPr>
            <w:r>
              <w:rPr>
                <w:b w:val="false"/>
                <w:bCs w:val="false"/>
                <w:color w:val="222222"/>
                <w:sz w:val="19"/>
                <w:szCs w:val="19"/>
              </w:rPr>
              <w:t xml:space="preserve">Low-power sensor/actuator nodes capture environmental and kinetic telemetry.</w:t>
            </w:r>
          </w:p>
        </w:tc>
      </w:tr>
      <w:tr>
        <w:tc>
          <w:tcPr>
            <w:tcW w:type="dxa" w:w="900"/>
            <w:tcMar>
              <w:top w:type="dxa" w:w="100"/>
              <w:left w:type="dxa" w:w="140"/>
              <w:bottom w:type="dxa" w:w="100"/>
              <w:right w:type="dxa" w:w="140"/>
            </w:tcMar>
            <w:vAlign w:val="center"/>
          </w:tcPr>
          <w:p>
            <w:pPr>
              <w:jc w:val="left"/>
            </w:pPr>
            <w:r>
              <w:rPr>
                <w:b w:val="false"/>
                <w:bCs w:val="false"/>
                <w:color w:val="222222"/>
                <w:sz w:val="19"/>
                <w:szCs w:val="19"/>
              </w:rPr>
              <w:t xml:space="preserve">2</w:t>
            </w:r>
          </w:p>
        </w:tc>
        <w:tc>
          <w:tcPr>
            <w:tcW w:type="dxa" w:w="2600"/>
            <w:tcMar>
              <w:top w:type="dxa" w:w="100"/>
              <w:left w:type="dxa" w:w="140"/>
              <w:bottom w:type="dxa" w:w="100"/>
              <w:right w:type="dxa" w:w="140"/>
            </w:tcMar>
            <w:vAlign w:val="center"/>
          </w:tcPr>
          <w:p>
            <w:pPr>
              <w:jc w:val="left"/>
            </w:pPr>
            <w:r>
              <w:rPr>
                <w:b w:val="false"/>
                <w:bCs w:val="false"/>
                <w:color w:val="222222"/>
                <w:sz w:val="19"/>
                <w:szCs w:val="19"/>
              </w:rPr>
              <w:t xml:space="preserve">Proximity Network</w:t>
            </w:r>
          </w:p>
        </w:tc>
        <w:tc>
          <w:tcPr>
            <w:tcW w:type="dxa" w:w="5900"/>
            <w:tcMar>
              <w:top w:type="dxa" w:w="100"/>
              <w:left w:type="dxa" w:w="140"/>
              <w:bottom w:type="dxa" w:w="100"/>
              <w:right w:type="dxa" w:w="140"/>
            </w:tcMar>
            <w:vAlign w:val="center"/>
          </w:tcPr>
          <w:p>
            <w:pPr>
              <w:jc w:val="left"/>
            </w:pPr>
            <w:r>
              <w:rPr>
                <w:b w:val="false"/>
                <w:bCs w:val="false"/>
                <w:color w:val="222222"/>
                <w:sz w:val="19"/>
                <w:szCs w:val="19"/>
              </w:rPr>
              <w:t xml:space="preserve">Short-range wireless link (BLE 5.0 or Wi-Fi 802.11 b/g/n) connecting nodes to a local sink.</w:t>
            </w:r>
          </w:p>
        </w:tc>
      </w:tr>
      <w:tr>
        <w:tc>
          <w:tcPr>
            <w:tcW w:type="dxa" w:w="900"/>
            <w:tcMar>
              <w:top w:type="dxa" w:w="100"/>
              <w:left w:type="dxa" w:w="140"/>
              <w:bottom w:type="dxa" w:w="100"/>
              <w:right w:type="dxa" w:w="140"/>
            </w:tcMar>
            <w:vAlign w:val="center"/>
          </w:tcPr>
          <w:p>
            <w:pPr>
              <w:jc w:val="left"/>
            </w:pPr>
            <w:r>
              <w:rPr>
                <w:b w:val="false"/>
                <w:bCs w:val="false"/>
                <w:color w:val="222222"/>
                <w:sz w:val="19"/>
                <w:szCs w:val="19"/>
              </w:rPr>
              <w:t xml:space="preserve">3</w:t>
            </w:r>
          </w:p>
        </w:tc>
        <w:tc>
          <w:tcPr>
            <w:tcW w:type="dxa" w:w="2600"/>
            <w:tcMar>
              <w:top w:type="dxa" w:w="100"/>
              <w:left w:type="dxa" w:w="140"/>
              <w:bottom w:type="dxa" w:w="100"/>
              <w:right w:type="dxa" w:w="140"/>
            </w:tcMar>
            <w:vAlign w:val="center"/>
          </w:tcPr>
          <w:p>
            <w:pPr>
              <w:jc w:val="left"/>
            </w:pPr>
            <w:r>
              <w:rPr>
                <w:b w:val="false"/>
                <w:bCs w:val="false"/>
                <w:color w:val="222222"/>
                <w:sz w:val="19"/>
                <w:szCs w:val="19"/>
              </w:rPr>
              <w:t xml:space="preserve">Edge Gateway Layer</w:t>
            </w:r>
          </w:p>
        </w:tc>
        <w:tc>
          <w:tcPr>
            <w:tcW w:type="dxa" w:w="5900"/>
            <w:tcMar>
              <w:top w:type="dxa" w:w="100"/>
              <w:left w:type="dxa" w:w="140"/>
              <w:bottom w:type="dxa" w:w="100"/>
              <w:right w:type="dxa" w:w="140"/>
            </w:tcMar>
            <w:vAlign w:val="center"/>
          </w:tcPr>
          <w:p>
            <w:pPr>
              <w:jc w:val="left"/>
            </w:pPr>
            <w:r>
              <w:rPr>
                <w:b w:val="false"/>
                <w:bCs w:val="false"/>
                <w:color w:val="222222"/>
                <w:sz w:val="19"/>
                <w:szCs w:val="19"/>
              </w:rPr>
              <w:t xml:space="preserve">Protocol conversion, local (edge) execution, and secure upstream delivery to the cloud.</w:t>
            </w:r>
          </w:p>
        </w:tc>
      </w:tr>
      <w:tr>
        <w:tc>
          <w:tcPr>
            <w:tcW w:type="dxa" w:w="900"/>
            <w:tcMar>
              <w:top w:type="dxa" w:w="100"/>
              <w:left w:type="dxa" w:w="140"/>
              <w:bottom w:type="dxa" w:w="100"/>
              <w:right w:type="dxa" w:w="140"/>
            </w:tcMar>
            <w:vAlign w:val="center"/>
          </w:tcPr>
          <w:p>
            <w:pPr>
              <w:jc w:val="left"/>
            </w:pPr>
            <w:r>
              <w:rPr>
                <w:b w:val="false"/>
                <w:bCs w:val="false"/>
                <w:color w:val="222222"/>
                <w:sz w:val="19"/>
                <w:szCs w:val="19"/>
              </w:rPr>
              <w:t xml:space="preserve">4</w:t>
            </w:r>
          </w:p>
        </w:tc>
        <w:tc>
          <w:tcPr>
            <w:tcW w:type="dxa" w:w="2600"/>
            <w:tcMar>
              <w:top w:type="dxa" w:w="100"/>
              <w:left w:type="dxa" w:w="140"/>
              <w:bottom w:type="dxa" w:w="100"/>
              <w:right w:type="dxa" w:w="140"/>
            </w:tcMar>
            <w:vAlign w:val="center"/>
          </w:tcPr>
          <w:p>
            <w:pPr>
              <w:jc w:val="left"/>
            </w:pPr>
            <w:r>
              <w:rPr>
                <w:b w:val="false"/>
                <w:bCs w:val="false"/>
                <w:color w:val="222222"/>
                <w:sz w:val="19"/>
                <w:szCs w:val="19"/>
              </w:rPr>
              <w:t xml:space="preserve">Cloud Layer</w:t>
            </w:r>
          </w:p>
        </w:tc>
        <w:tc>
          <w:tcPr>
            <w:tcW w:type="dxa" w:w="5900"/>
            <w:tcMar>
              <w:top w:type="dxa" w:w="100"/>
              <w:left w:type="dxa" w:w="140"/>
              <w:bottom w:type="dxa" w:w="100"/>
              <w:right w:type="dxa" w:w="140"/>
            </w:tcMar>
            <w:vAlign w:val="center"/>
          </w:tcPr>
          <w:p>
            <w:pPr>
              <w:jc w:val="left"/>
            </w:pPr>
            <w:r>
              <w:rPr>
                <w:b w:val="false"/>
                <w:bCs w:val="false"/>
                <w:color w:val="222222"/>
                <w:sz w:val="19"/>
                <w:szCs w:val="19"/>
              </w:rPr>
              <w:t xml:space="preserve">AWS IoT Core message broker, serverless processing, and time-series data persistence.</w:t>
            </w:r>
          </w:p>
        </w:tc>
      </w:tr>
      <w:tr>
        <w:tc>
          <w:tcPr>
            <w:tcW w:type="dxa" w:w="900"/>
            <w:tcMar>
              <w:top w:type="dxa" w:w="100"/>
              <w:left w:type="dxa" w:w="140"/>
              <w:bottom w:type="dxa" w:w="100"/>
              <w:right w:type="dxa" w:w="140"/>
            </w:tcMar>
            <w:vAlign w:val="center"/>
          </w:tcPr>
          <w:p>
            <w:pPr>
              <w:jc w:val="left"/>
            </w:pPr>
            <w:r>
              <w:rPr>
                <w:b w:val="false"/>
                <w:bCs w:val="false"/>
                <w:color w:val="222222"/>
                <w:sz w:val="19"/>
                <w:szCs w:val="19"/>
              </w:rPr>
              <w:t xml:space="preserve">5</w:t>
            </w:r>
          </w:p>
        </w:tc>
        <w:tc>
          <w:tcPr>
            <w:tcW w:type="dxa" w:w="2600"/>
            <w:tcMar>
              <w:top w:type="dxa" w:w="100"/>
              <w:left w:type="dxa" w:w="140"/>
              <w:bottom w:type="dxa" w:w="100"/>
              <w:right w:type="dxa" w:w="140"/>
            </w:tcMar>
            <w:vAlign w:val="center"/>
          </w:tcPr>
          <w:p>
            <w:pPr>
              <w:jc w:val="left"/>
            </w:pPr>
            <w:r>
              <w:rPr>
                <w:b w:val="false"/>
                <w:bCs w:val="false"/>
                <w:color w:val="222222"/>
                <w:sz w:val="19"/>
                <w:szCs w:val="19"/>
              </w:rPr>
              <w:t xml:space="preserve">Presentation Layer</w:t>
            </w:r>
          </w:p>
        </w:tc>
        <w:tc>
          <w:tcPr>
            <w:tcW w:type="dxa" w:w="5900"/>
            <w:tcMar>
              <w:top w:type="dxa" w:w="100"/>
              <w:left w:type="dxa" w:w="140"/>
              <w:bottom w:type="dxa" w:w="100"/>
              <w:right w:type="dxa" w:w="140"/>
            </w:tcMar>
            <w:vAlign w:val="center"/>
          </w:tcPr>
          <w:p>
            <w:pPr>
              <w:jc w:val="left"/>
            </w:pPr>
            <w:r>
              <w:rPr>
                <w:b w:val="false"/>
                <w:bCs w:val="false"/>
                <w:color w:val="222222"/>
                <w:sz w:val="19"/>
                <w:szCs w:val="19"/>
              </w:rPr>
              <w:t xml:space="preserve">Android mobile application providing real-time telemetry visualization and reverse control.</w:t>
            </w:r>
          </w:p>
        </w:tc>
      </w:tr>
    </w:tbl>
    <w:p>
      <w:pPr>
        <w:spacing w:after="160"/>
      </w:pPr>
    </w:p>
    <w:tbl>
      <w:tblPr>
        <w:tblW w:type="pct" w:w="100%"/>
        <w:tblBorders>
          <w:top w:val="single" w:color="1E2761" w:sz="4"/>
          <w:left w:val="single" w:color="1E2761" w:sz="4"/>
          <w:bottom w:val="single" w:color="1E2761" w:sz="4"/>
          <w:right w:val="single" w:color="1E2761" w:sz="4"/>
          <w:insideH w:val="none" w:color="FFFFFF" w:sz="0"/>
          <w:insideV w:val="none" w:color="FFFFFF" w:sz="0"/>
        </w:tblBorders>
      </w:tblPr>
      <w:tblGrid>
        <w:gridCol w:w="100"/>
      </w:tblGrid>
      <w:tr>
        <w:tc>
          <w:tcPr>
            <w:shd w:fill="F2F5FC" w:val="clear"/>
            <w:tcMar>
              <w:top w:type="dxa" w:w="160"/>
              <w:left w:type="dxa" w:w="220"/>
              <w:bottom w:type="dxa" w:w="160"/>
              <w:right w:type="dxa" w:w="220"/>
            </w:tcMar>
          </w:tcPr>
          <w:p>
            <w:pPr>
              <w:spacing w:after="80"/>
            </w:pPr>
            <w:r>
              <w:rPr>
                <w:b/>
                <w:bCs/>
                <w:color w:val="1E2761"/>
                <w:sz w:val="21"/>
                <w:szCs w:val="21"/>
              </w:rPr>
              <w:t xml:space="preserve">Design Rationale — Why a Gateway Tier Is Required</w:t>
            </w:r>
          </w:p>
          <w:p>
            <w:pPr>
              <w:spacing w:after="0" w:line="268"/>
            </w:pPr>
            <w:r>
              <w:rPr>
                <w:color w:val="222222"/>
                <w:sz w:val="21"/>
                <w:szCs w:val="21"/>
              </w:rPr>
              <w:t xml:space="preserve">Low-power end devices (Tier 1) generally lack the RAM, flash, and CPU headroom to run a standard TCP/IP stack with TLS 1.2/1.3 handshakes directly to a cloud endpoint. The Edge Gateway tier is therefore not a convenience but an architectural necessity: it terminates the lightweight local protocol (BLE) on one side and the secure internet protocol (mTLS/MQTT) on the other, absorbing the cryptographic and networking cost that the sensor node cannot afford.</w:t>
            </w:r>
          </w:p>
        </w:tc>
      </w:tr>
    </w:tbl>
    <w:p>
      <w:pPr>
        <w:pStyle w:val="Heading1"/>
        <w:pBdr>
          <w:bottom w:val="single" w:color="C9D3E0" w:sz="6" w:space="6"/>
        </w:pBdr>
        <w:spacing w:after="200" w:before="420"/>
      </w:pPr>
      <w:r>
        <w:rPr>
          <w:b/>
          <w:bCs/>
          <w:color w:val="1E2761"/>
          <w:sz w:val="30"/>
          <w:szCs w:val="30"/>
        </w:rPr>
        <w:t xml:space="preserve">3. Perception Layer — End-Device Hardware and Sensors</w:t>
      </w:r>
    </w:p>
    <w:p>
      <w:pPr>
        <w:spacing w:after="160" w:line="276"/>
        <w:jc w:val="left"/>
      </w:pPr>
      <w:r>
        <w:rPr>
          <w:color w:val="222222"/>
          <w:sz w:val="21"/>
          <w:szCs w:val="21"/>
        </w:rPr>
        <w:t xml:space="preserve">The perception layer consists of one or more constrained end devices: physical sensor/actuator nodes built around a low-cost microcontroller unit (MCU). Hardware selection is driven by three criteria, in priority order: power efficiency (for multi-month battery operation), unit cost (to allow multiple nodes per team), and sufficient real-time performance to service a BLE radio stack and one or two sensor peripherals.</w:t>
      </w:r>
    </w:p>
    <w:p>
      <w:pPr>
        <w:pStyle w:val="Heading2"/>
        <w:spacing w:after="140" w:before="300"/>
      </w:pPr>
      <w:r>
        <w:rPr>
          <w:b/>
          <w:bCs/>
          <w:color w:val="1E2761"/>
          <w:sz w:val="24"/>
          <w:szCs w:val="24"/>
        </w:rPr>
        <w:t xml:space="preserve">3.1 Recommended Bill of Materials</w:t>
      </w:r>
    </w:p>
    <w:tbl>
      <w:tblPr>
        <w:tblW w:type="dxa" w:w="9400"/>
        <w:tblBorders>
          <w:top w:val="single" w:color="C9D3E0" w:sz="4"/>
          <w:left w:val="single" w:color="C9D3E0" w:sz="4"/>
          <w:bottom w:val="single" w:color="C9D3E0" w:sz="4"/>
          <w:right w:val="single" w:color="C9D3E0" w:sz="4"/>
          <w:insideH w:val="single" w:color="C9D3E0" w:sz="4"/>
          <w:insideV w:val="single" w:color="C9D3E0" w:sz="4"/>
        </w:tblBorders>
      </w:tblPr>
      <w:tblGrid>
        <w:gridCol w:w="2200"/>
        <w:gridCol w:w="3400"/>
        <w:gridCol w:w="3800"/>
      </w:tblGrid>
      <w:tr>
        <w:trPr>
          <w:tblHeader/>
        </w:trPr>
        <w:tc>
          <w:tcPr>
            <w:tcW w:type="dxa" w:w="2200"/>
            <w:shd w:fill="1E2761" w:val="clear"/>
            <w:tcMar>
              <w:top w:type="dxa" w:w="100"/>
              <w:left w:type="dxa" w:w="140"/>
              <w:bottom w:type="dxa" w:w="100"/>
              <w:right w:type="dxa" w:w="140"/>
            </w:tcMar>
            <w:vAlign w:val="center"/>
          </w:tcPr>
          <w:p>
            <w:pPr>
              <w:jc w:val="left"/>
            </w:pPr>
            <w:r>
              <w:rPr>
                <w:b/>
                <w:bCs/>
                <w:color w:val="FFFFFF"/>
                <w:sz w:val="19"/>
                <w:szCs w:val="19"/>
              </w:rPr>
              <w:t xml:space="preserve">Component</w:t>
            </w:r>
          </w:p>
        </w:tc>
        <w:tc>
          <w:tcPr>
            <w:tcW w:type="dxa" w:w="3400"/>
            <w:shd w:fill="1E2761" w:val="clear"/>
            <w:tcMar>
              <w:top w:type="dxa" w:w="100"/>
              <w:left w:type="dxa" w:w="140"/>
              <w:bottom w:type="dxa" w:w="100"/>
              <w:right w:type="dxa" w:w="140"/>
            </w:tcMar>
            <w:vAlign w:val="center"/>
          </w:tcPr>
          <w:p>
            <w:pPr>
              <w:jc w:val="left"/>
            </w:pPr>
            <w:r>
              <w:rPr>
                <w:b/>
                <w:bCs/>
                <w:color w:val="FFFFFF"/>
                <w:sz w:val="19"/>
                <w:szCs w:val="19"/>
              </w:rPr>
              <w:t xml:space="preserve">Recommended Part(s)</w:t>
            </w:r>
          </w:p>
        </w:tc>
        <w:tc>
          <w:tcPr>
            <w:tcW w:type="dxa" w:w="3800"/>
            <w:shd w:fill="1E2761" w:val="clear"/>
            <w:tcMar>
              <w:top w:type="dxa" w:w="100"/>
              <w:left w:type="dxa" w:w="140"/>
              <w:bottom w:type="dxa" w:w="100"/>
              <w:right w:type="dxa" w:w="140"/>
            </w:tcMar>
            <w:vAlign w:val="center"/>
          </w:tcPr>
          <w:p>
            <w:pPr>
              <w:jc w:val="left"/>
            </w:pPr>
            <w:r>
              <w:rPr>
                <w:b/>
                <w:bCs/>
                <w:color w:val="FFFFFF"/>
                <w:sz w:val="19"/>
                <w:szCs w:val="19"/>
              </w:rPr>
              <w:t xml:space="preserve">Notes</w:t>
            </w:r>
          </w:p>
        </w:tc>
      </w:tr>
      <w:tr>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Microcontroller (MCU)</w:t>
            </w:r>
          </w:p>
        </w:tc>
        <w:tc>
          <w:tcPr>
            <w:tcW w:type="dxa" w:w="3400"/>
            <w:tcMar>
              <w:top w:type="dxa" w:w="100"/>
              <w:left w:type="dxa" w:w="140"/>
              <w:bottom w:type="dxa" w:w="100"/>
              <w:right w:type="dxa" w:w="140"/>
            </w:tcMar>
            <w:vAlign w:val="center"/>
          </w:tcPr>
          <w:p>
            <w:pPr>
              <w:jc w:val="left"/>
            </w:pPr>
            <w:r>
              <w:rPr>
                <w:b w:val="false"/>
                <w:bCs w:val="false"/>
                <w:color w:val="222222"/>
                <w:sz w:val="19"/>
                <w:szCs w:val="19"/>
              </w:rPr>
              <w:t xml:space="preserve">ESP32-WROOM-32 or Nordic nRF52840</w:t>
            </w:r>
          </w:p>
        </w:tc>
        <w:tc>
          <w:tcPr>
            <w:tcW w:type="dxa" w:w="3800"/>
            <w:tcMar>
              <w:top w:type="dxa" w:w="100"/>
              <w:left w:type="dxa" w:w="140"/>
              <w:bottom w:type="dxa" w:w="100"/>
              <w:right w:type="dxa" w:w="140"/>
            </w:tcMar>
            <w:vAlign w:val="center"/>
          </w:tcPr>
          <w:p>
            <w:pPr>
              <w:jc w:val="left"/>
            </w:pPr>
            <w:r>
              <w:rPr>
                <w:b w:val="false"/>
                <w:bCs w:val="false"/>
                <w:color w:val="222222"/>
                <w:sz w:val="19"/>
                <w:szCs w:val="19"/>
              </w:rPr>
              <w:t xml:space="preserve">Low cost, highly reliable BLE 5.0 capability; either board is a suitable end-device platform.</w:t>
            </w:r>
          </w:p>
        </w:tc>
      </w:tr>
      <w:tr>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Environmental sensor</w:t>
            </w:r>
          </w:p>
        </w:tc>
        <w:tc>
          <w:tcPr>
            <w:tcW w:type="dxa" w:w="3400"/>
            <w:tcMar>
              <w:top w:type="dxa" w:w="100"/>
              <w:left w:type="dxa" w:w="140"/>
              <w:bottom w:type="dxa" w:w="100"/>
              <w:right w:type="dxa" w:w="140"/>
            </w:tcMar>
            <w:vAlign w:val="center"/>
          </w:tcPr>
          <w:p>
            <w:pPr>
              <w:jc w:val="left"/>
            </w:pPr>
            <w:r>
              <w:rPr>
                <w:b w:val="false"/>
                <w:bCs w:val="false"/>
                <w:color w:val="222222"/>
                <w:sz w:val="19"/>
                <w:szCs w:val="19"/>
              </w:rPr>
              <w:t xml:space="preserve">DHT22 or BME280</w:t>
            </w:r>
          </w:p>
        </w:tc>
        <w:tc>
          <w:tcPr>
            <w:tcW w:type="dxa" w:w="3800"/>
            <w:tcMar>
              <w:top w:type="dxa" w:w="100"/>
              <w:left w:type="dxa" w:w="140"/>
              <w:bottom w:type="dxa" w:w="100"/>
              <w:right w:type="dxa" w:w="140"/>
            </w:tcMar>
            <w:vAlign w:val="center"/>
          </w:tcPr>
          <w:p>
            <w:pPr>
              <w:jc w:val="left"/>
            </w:pPr>
            <w:r>
              <w:rPr>
                <w:b w:val="false"/>
                <w:bCs w:val="false"/>
                <w:color w:val="222222"/>
                <w:sz w:val="19"/>
                <w:szCs w:val="19"/>
              </w:rPr>
              <w:t xml:space="preserve">Temperature, humidity, and (BME280) barometric pressure via I²C or SPI.</w:t>
            </w:r>
          </w:p>
        </w:tc>
      </w:tr>
      <w:tr>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Motion sensor</w:t>
            </w:r>
          </w:p>
        </w:tc>
        <w:tc>
          <w:tcPr>
            <w:tcW w:type="dxa" w:w="3400"/>
            <w:tcMar>
              <w:top w:type="dxa" w:w="100"/>
              <w:left w:type="dxa" w:w="140"/>
              <w:bottom w:type="dxa" w:w="100"/>
              <w:right w:type="dxa" w:w="140"/>
            </w:tcMar>
            <w:vAlign w:val="center"/>
          </w:tcPr>
          <w:p>
            <w:pPr>
              <w:jc w:val="left"/>
            </w:pPr>
            <w:r>
              <w:rPr>
                <w:b w:val="false"/>
                <w:bCs w:val="false"/>
                <w:color w:val="222222"/>
                <w:sz w:val="19"/>
                <w:szCs w:val="19"/>
              </w:rPr>
              <w:t xml:space="preserve">LSM6DSV16X or MPU6050</w:t>
            </w:r>
          </w:p>
        </w:tc>
        <w:tc>
          <w:tcPr>
            <w:tcW w:type="dxa" w:w="3800"/>
            <w:tcMar>
              <w:top w:type="dxa" w:w="100"/>
              <w:left w:type="dxa" w:w="140"/>
              <w:bottom w:type="dxa" w:w="100"/>
              <w:right w:type="dxa" w:w="140"/>
            </w:tcMar>
            <w:vAlign w:val="center"/>
          </w:tcPr>
          <w:p>
            <w:pPr>
              <w:jc w:val="left"/>
            </w:pPr>
            <w:r>
              <w:rPr>
                <w:b w:val="false"/>
                <w:bCs w:val="false"/>
                <w:color w:val="222222"/>
                <w:sz w:val="19"/>
                <w:szCs w:val="19"/>
              </w:rPr>
              <w:t xml:space="preserve">6-axis accelerometer + gyroscope; detects motion and vibration events.</w:t>
            </w:r>
          </w:p>
        </w:tc>
      </w:tr>
      <w:tr>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Power supply</w:t>
            </w:r>
          </w:p>
        </w:tc>
        <w:tc>
          <w:tcPr>
            <w:tcW w:type="dxa" w:w="3400"/>
            <w:tcMar>
              <w:top w:type="dxa" w:w="100"/>
              <w:left w:type="dxa" w:w="140"/>
              <w:bottom w:type="dxa" w:w="100"/>
              <w:right w:type="dxa" w:w="140"/>
            </w:tcMar>
            <w:vAlign w:val="center"/>
          </w:tcPr>
          <w:p>
            <w:pPr>
              <w:jc w:val="left"/>
            </w:pPr>
            <w:r>
              <w:rPr>
                <w:b w:val="false"/>
                <w:bCs w:val="false"/>
                <w:color w:val="222222"/>
                <w:sz w:val="19"/>
                <w:szCs w:val="19"/>
              </w:rPr>
              <w:t xml:space="preserve">3.7V LiPo battery + TP4056 charge controller, or a CR2032 coin cell</w:t>
            </w:r>
          </w:p>
        </w:tc>
        <w:tc>
          <w:tcPr>
            <w:tcW w:type="dxa" w:w="3800"/>
            <w:tcMar>
              <w:top w:type="dxa" w:w="100"/>
              <w:left w:type="dxa" w:w="140"/>
              <w:bottom w:type="dxa" w:w="100"/>
              <w:right w:type="dxa" w:w="140"/>
            </w:tcMar>
            <w:vAlign w:val="center"/>
          </w:tcPr>
          <w:p>
            <w:pPr>
              <w:jc w:val="left"/>
            </w:pPr>
            <w:r>
              <w:rPr>
                <w:b w:val="false"/>
                <w:bCs w:val="false"/>
                <w:color w:val="222222"/>
                <w:sz w:val="19"/>
                <w:szCs w:val="19"/>
              </w:rPr>
              <w:t xml:space="preserve">Sized to the duty cycle in Section 5; coin cell is viable only under aggressive deep-sleep duty cycling.</w:t>
            </w:r>
          </w:p>
        </w:tc>
      </w:tr>
    </w:tbl>
    <w:p>
      <w:pPr>
        <w:spacing w:after="160" w:line="276"/>
        <w:jc w:val="left"/>
      </w:pPr>
      <w:r>
        <w:rPr>
          <w:color w:val="222222"/>
          <w:sz w:val="21"/>
          <w:szCs w:val="21"/>
        </w:rPr>
        <w:t xml:space="preserve">End-device types in this project are limited to constrained physical sensors and actuators — for example, environmental monitoring nodes or a smart-irrigation-style actuator end node — rather than general-purpose computing endpoints. This keeps the perception layer representative of real deployed IoT hardware, where memory and power headroom are the binding constraints on design.</w:t>
      </w:r>
    </w:p>
    <w:p>
      <w:pPr>
        <w:spacing w:after="80" w:before="120"/>
        <w:jc w:val="center"/>
      </w:pPr>
      <w:r>
        <w:drawing>
          <wp:inline distT="0" distB="0" distL="0" distR="0">
            <wp:extent cx="2476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3552825"/>
                    </a:xfrm>
                    <a:prstGeom prst="rect">
                      <a:avLst/>
                    </a:prstGeom>
                  </pic:spPr>
                </pic:pic>
              </a:graphicData>
            </a:graphic>
          </wp:inline>
        </w:drawing>
      </w:r>
    </w:p>
    <w:p>
      <w:pPr>
        <w:spacing w:after="220"/>
        <w:jc w:val="center"/>
      </w:pPr>
      <w:r>
        <w:rPr>
          <w:i/>
          <w:iCs/>
          <w:color w:val="5A6472"/>
          <w:sz w:val="18"/>
          <w:szCs w:val="18"/>
        </w:rPr>
        <w:t xml:space="preserve">Figure 2. ESP32-WROOM-32 development board — physical reference dimensions used for enclosure and breadboard layout planning.</w:t>
      </w:r>
    </w:p>
    <w:p>
      <w:pPr>
        <w:spacing w:after="80" w:before="12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857500"/>
                    </a:xfrm>
                    <a:prstGeom prst="rect">
                      <a:avLst/>
                    </a:prstGeom>
                  </pic:spPr>
                </pic:pic>
              </a:graphicData>
            </a:graphic>
          </wp:inline>
        </w:drawing>
      </w:r>
    </w:p>
    <w:p>
      <w:pPr>
        <w:spacing w:after="220"/>
        <w:jc w:val="center"/>
      </w:pPr>
      <w:r>
        <w:rPr>
          <w:i/>
          <w:iCs/>
          <w:color w:val="5A6472"/>
          <w:sz w:val="18"/>
          <w:szCs w:val="18"/>
        </w:rPr>
        <w:t xml:space="preserve">Figure 3. Prototype end-device assembly on a breadboard, shown here wired to an environmental (water-level) sensor for bring-up testing.</w:t>
      </w:r>
    </w:p>
    <w:p>
      <w:pPr>
        <w:pStyle w:val="Heading1"/>
        <w:pBdr>
          <w:bottom w:val="single" w:color="C9D3E0" w:sz="6" w:space="6"/>
        </w:pBdr>
        <w:spacing w:after="200" w:before="420"/>
      </w:pPr>
      <w:r>
        <w:rPr>
          <w:b/>
          <w:bCs/>
          <w:color w:val="1E2761"/>
          <w:sz w:val="30"/>
          <w:szCs w:val="30"/>
        </w:rPr>
        <w:t xml:space="preserve">4. Local Wireless Network Protocol Selection</w:t>
      </w:r>
    </w:p>
    <w:p>
      <w:pPr>
        <w:spacing w:after="160" w:line="276"/>
        <w:jc w:val="left"/>
      </w:pPr>
      <w:r>
        <w:rPr>
          <w:color w:val="222222"/>
          <w:sz w:val="21"/>
          <w:szCs w:val="21"/>
        </w:rPr>
        <w:t xml:space="preserve">Four candidate short-range wireless technologies were evaluated for the proximity network that links end devices to the edge gateway. The comparison below focuses on the four attributes that matter most for a battery-powered sensor node: standard, frequency band, achievable data rate, expected battery life, and network topology.</w:t>
      </w:r>
    </w:p>
    <w:tbl>
      <w:tblPr>
        <w:tblW w:type="dxa" w:w="9600"/>
        <w:tblBorders>
          <w:top w:val="single" w:color="C9D3E0" w:sz="4"/>
          <w:left w:val="single" w:color="C9D3E0" w:sz="4"/>
          <w:bottom w:val="single" w:color="C9D3E0" w:sz="4"/>
          <w:right w:val="single" w:color="C9D3E0" w:sz="4"/>
          <w:insideH w:val="single" w:color="C9D3E0" w:sz="4"/>
          <w:insideV w:val="single" w:color="C9D3E0" w:sz="4"/>
        </w:tblBorders>
      </w:tblPr>
      <w:tblGrid>
        <w:gridCol w:w="1400"/>
        <w:gridCol w:w="2200"/>
        <w:gridCol w:w="1700"/>
        <w:gridCol w:w="1450"/>
        <w:gridCol w:w="1450"/>
        <w:gridCol w:w="1400"/>
      </w:tblGrid>
      <w:tr>
        <w:trPr>
          <w:tblHeader/>
        </w:trPr>
        <w:tc>
          <w:tcPr>
            <w:tcW w:type="dxa" w:w="1400"/>
            <w:shd w:fill="1E2761" w:val="clear"/>
            <w:tcMar>
              <w:top w:type="dxa" w:w="100"/>
              <w:left w:type="dxa" w:w="140"/>
              <w:bottom w:type="dxa" w:w="100"/>
              <w:right w:type="dxa" w:w="140"/>
            </w:tcMar>
            <w:vAlign w:val="center"/>
          </w:tcPr>
          <w:p>
            <w:pPr>
              <w:jc w:val="left"/>
            </w:pPr>
            <w:r>
              <w:rPr>
                <w:b/>
                <w:bCs/>
                <w:color w:val="FFFFFF"/>
                <w:sz w:val="19"/>
                <w:szCs w:val="19"/>
              </w:rPr>
              <w:t xml:space="preserve">Protocol</w:t>
            </w:r>
          </w:p>
        </w:tc>
        <w:tc>
          <w:tcPr>
            <w:tcW w:type="dxa" w:w="2200"/>
            <w:shd w:fill="1E2761" w:val="clear"/>
            <w:tcMar>
              <w:top w:type="dxa" w:w="100"/>
              <w:left w:type="dxa" w:w="140"/>
              <w:bottom w:type="dxa" w:w="100"/>
              <w:right w:type="dxa" w:w="140"/>
            </w:tcMar>
            <w:vAlign w:val="center"/>
          </w:tcPr>
          <w:p>
            <w:pPr>
              <w:jc w:val="left"/>
            </w:pPr>
            <w:r>
              <w:rPr>
                <w:b/>
                <w:bCs/>
                <w:color w:val="FFFFFF"/>
                <w:sz w:val="19"/>
                <w:szCs w:val="19"/>
              </w:rPr>
              <w:t xml:space="preserve">Standard</w:t>
            </w:r>
          </w:p>
        </w:tc>
        <w:tc>
          <w:tcPr>
            <w:tcW w:type="dxa" w:w="1700"/>
            <w:shd w:fill="1E2761" w:val="clear"/>
            <w:tcMar>
              <w:top w:type="dxa" w:w="100"/>
              <w:left w:type="dxa" w:w="140"/>
              <w:bottom w:type="dxa" w:w="100"/>
              <w:right w:type="dxa" w:w="140"/>
            </w:tcMar>
            <w:vAlign w:val="center"/>
          </w:tcPr>
          <w:p>
            <w:pPr>
              <w:jc w:val="left"/>
            </w:pPr>
            <w:r>
              <w:rPr>
                <w:b/>
                <w:bCs/>
                <w:color w:val="FFFFFF"/>
                <w:sz w:val="19"/>
                <w:szCs w:val="19"/>
              </w:rPr>
              <w:t xml:space="preserve">Frequency Band</w:t>
            </w:r>
          </w:p>
        </w:tc>
        <w:tc>
          <w:tcPr>
            <w:tcW w:type="dxa" w:w="1450"/>
            <w:shd w:fill="1E2761" w:val="clear"/>
            <w:tcMar>
              <w:top w:type="dxa" w:w="100"/>
              <w:left w:type="dxa" w:w="140"/>
              <w:bottom w:type="dxa" w:w="100"/>
              <w:right w:type="dxa" w:w="140"/>
            </w:tcMar>
            <w:vAlign w:val="center"/>
          </w:tcPr>
          <w:p>
            <w:pPr>
              <w:jc w:val="left"/>
            </w:pPr>
            <w:r>
              <w:rPr>
                <w:b/>
                <w:bCs/>
                <w:color w:val="FFFFFF"/>
                <w:sz w:val="19"/>
                <w:szCs w:val="19"/>
              </w:rPr>
              <w:t xml:space="preserve">Data Rate</w:t>
            </w:r>
          </w:p>
        </w:tc>
        <w:tc>
          <w:tcPr>
            <w:tcW w:type="dxa" w:w="1450"/>
            <w:shd w:fill="1E2761" w:val="clear"/>
            <w:tcMar>
              <w:top w:type="dxa" w:w="100"/>
              <w:left w:type="dxa" w:w="140"/>
              <w:bottom w:type="dxa" w:w="100"/>
              <w:right w:type="dxa" w:w="140"/>
            </w:tcMar>
            <w:vAlign w:val="center"/>
          </w:tcPr>
          <w:p>
            <w:pPr>
              <w:jc w:val="left"/>
            </w:pPr>
            <w:r>
              <w:rPr>
                <w:b/>
                <w:bCs/>
                <w:color w:val="FFFFFF"/>
                <w:sz w:val="19"/>
                <w:szCs w:val="19"/>
              </w:rPr>
              <w:t xml:space="preserve">Battery Life</w:t>
            </w:r>
          </w:p>
        </w:tc>
        <w:tc>
          <w:tcPr>
            <w:tcW w:type="dxa" w:w="1400"/>
            <w:shd w:fill="1E2761" w:val="clear"/>
            <w:tcMar>
              <w:top w:type="dxa" w:w="100"/>
              <w:left w:type="dxa" w:w="140"/>
              <w:bottom w:type="dxa" w:w="100"/>
              <w:right w:type="dxa" w:w="140"/>
            </w:tcMar>
            <w:vAlign w:val="center"/>
          </w:tcPr>
          <w:p>
            <w:pPr>
              <w:jc w:val="left"/>
            </w:pPr>
            <w:r>
              <w:rPr>
                <w:b/>
                <w:bCs/>
                <w:color w:val="FFFFFF"/>
                <w:sz w:val="19"/>
                <w:szCs w:val="19"/>
              </w:rPr>
              <w:t xml:space="preserve">Topology</w:t>
            </w:r>
          </w:p>
        </w:tc>
      </w:tr>
      <w:tr>
        <w:tc>
          <w:tcPr>
            <w:tcW w:type="dxa" w:w="1400"/>
            <w:tcMar>
              <w:top w:type="dxa" w:w="100"/>
              <w:left w:type="dxa" w:w="140"/>
              <w:bottom w:type="dxa" w:w="100"/>
              <w:right w:type="dxa" w:w="140"/>
            </w:tcMar>
            <w:vAlign w:val="center"/>
          </w:tcPr>
          <w:p>
            <w:pPr>
              <w:jc w:val="left"/>
            </w:pPr>
            <w:r>
              <w:rPr>
                <w:b w:val="false"/>
                <w:bCs w:val="false"/>
                <w:color w:val="222222"/>
                <w:sz w:val="19"/>
                <w:szCs w:val="19"/>
              </w:rPr>
              <w:t xml:space="preserve">BLE 5.0</w:t>
            </w:r>
          </w:p>
        </w:tc>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IEEE 802.15.1</w:t>
            </w:r>
          </w:p>
        </w:tc>
        <w:tc>
          <w:tcPr>
            <w:tcW w:type="dxa" w:w="1700"/>
            <w:tcMar>
              <w:top w:type="dxa" w:w="100"/>
              <w:left w:type="dxa" w:w="140"/>
              <w:bottom w:type="dxa" w:w="100"/>
              <w:right w:type="dxa" w:w="140"/>
            </w:tcMar>
            <w:vAlign w:val="center"/>
          </w:tcPr>
          <w:p>
            <w:pPr>
              <w:jc w:val="left"/>
            </w:pPr>
            <w:r>
              <w:rPr>
                <w:b w:val="false"/>
                <w:bCs w:val="false"/>
                <w:color w:val="222222"/>
                <w:sz w:val="19"/>
                <w:szCs w:val="19"/>
              </w:rPr>
              <w:t xml:space="preserve">2.4 GHz ISM</w:t>
            </w:r>
          </w:p>
        </w:tc>
        <w:tc>
          <w:tcPr>
            <w:tcW w:type="dxa" w:w="1450"/>
            <w:tcMar>
              <w:top w:type="dxa" w:w="100"/>
              <w:left w:type="dxa" w:w="140"/>
              <w:bottom w:type="dxa" w:w="100"/>
              <w:right w:type="dxa" w:w="140"/>
            </w:tcMar>
            <w:vAlign w:val="center"/>
          </w:tcPr>
          <w:p>
            <w:pPr>
              <w:jc w:val="left"/>
            </w:pPr>
            <w:r>
              <w:rPr>
                <w:b w:val="false"/>
                <w:bCs w:val="false"/>
                <w:color w:val="222222"/>
                <w:sz w:val="19"/>
                <w:szCs w:val="19"/>
              </w:rPr>
              <w:t xml:space="preserve">1–2 Mbps</w:t>
            </w:r>
          </w:p>
        </w:tc>
        <w:tc>
          <w:tcPr>
            <w:tcW w:type="dxa" w:w="1450"/>
            <w:tcMar>
              <w:top w:type="dxa" w:w="100"/>
              <w:left w:type="dxa" w:w="140"/>
              <w:bottom w:type="dxa" w:w="100"/>
              <w:right w:type="dxa" w:w="140"/>
            </w:tcMar>
            <w:vAlign w:val="center"/>
          </w:tcPr>
          <w:p>
            <w:pPr>
              <w:jc w:val="left"/>
            </w:pPr>
            <w:r>
              <w:rPr>
                <w:b w:val="false"/>
                <w:bCs w:val="false"/>
                <w:color w:val="222222"/>
                <w:sz w:val="19"/>
                <w:szCs w:val="19"/>
              </w:rPr>
              <w:t xml:space="preserve">Months–Years</w:t>
            </w:r>
          </w:p>
        </w:tc>
        <w:tc>
          <w:tcPr>
            <w:tcW w:type="dxa" w:w="1400"/>
            <w:tcMar>
              <w:top w:type="dxa" w:w="100"/>
              <w:left w:type="dxa" w:w="140"/>
              <w:bottom w:type="dxa" w:w="100"/>
              <w:right w:type="dxa" w:w="140"/>
            </w:tcMar>
            <w:vAlign w:val="center"/>
          </w:tcPr>
          <w:p>
            <w:pPr>
              <w:jc w:val="left"/>
            </w:pPr>
            <w:r>
              <w:rPr>
                <w:b w:val="false"/>
                <w:bCs w:val="false"/>
                <w:color w:val="222222"/>
                <w:sz w:val="19"/>
                <w:szCs w:val="19"/>
              </w:rPr>
              <w:t xml:space="preserve">Star / Mesh</w:t>
            </w:r>
          </w:p>
        </w:tc>
      </w:tr>
      <w:tr>
        <w:tc>
          <w:tcPr>
            <w:tcW w:type="dxa" w:w="1400"/>
            <w:tcMar>
              <w:top w:type="dxa" w:w="100"/>
              <w:left w:type="dxa" w:w="140"/>
              <w:bottom w:type="dxa" w:w="100"/>
              <w:right w:type="dxa" w:w="140"/>
            </w:tcMar>
            <w:vAlign w:val="center"/>
          </w:tcPr>
          <w:p>
            <w:pPr>
              <w:jc w:val="left"/>
            </w:pPr>
            <w:r>
              <w:rPr>
                <w:b w:val="false"/>
                <w:bCs w:val="false"/>
                <w:color w:val="222222"/>
                <w:sz w:val="19"/>
                <w:szCs w:val="19"/>
              </w:rPr>
              <w:t xml:space="preserve">Wi-Fi 4/5</w:t>
            </w:r>
          </w:p>
        </w:tc>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IEEE 802.11 b/g/n</w:t>
            </w:r>
          </w:p>
        </w:tc>
        <w:tc>
          <w:tcPr>
            <w:tcW w:type="dxa" w:w="1700"/>
            <w:tcMar>
              <w:top w:type="dxa" w:w="100"/>
              <w:left w:type="dxa" w:w="140"/>
              <w:bottom w:type="dxa" w:w="100"/>
              <w:right w:type="dxa" w:w="140"/>
            </w:tcMar>
            <w:vAlign w:val="center"/>
          </w:tcPr>
          <w:p>
            <w:pPr>
              <w:jc w:val="left"/>
            </w:pPr>
            <w:r>
              <w:rPr>
                <w:b w:val="false"/>
                <w:bCs w:val="false"/>
                <w:color w:val="222222"/>
                <w:sz w:val="19"/>
                <w:szCs w:val="19"/>
              </w:rPr>
              <w:t xml:space="preserve">2.4 / 5 GHz</w:t>
            </w:r>
          </w:p>
        </w:tc>
        <w:tc>
          <w:tcPr>
            <w:tcW w:type="dxa" w:w="1450"/>
            <w:tcMar>
              <w:top w:type="dxa" w:w="100"/>
              <w:left w:type="dxa" w:w="140"/>
              <w:bottom w:type="dxa" w:w="100"/>
              <w:right w:type="dxa" w:w="140"/>
            </w:tcMar>
            <w:vAlign w:val="center"/>
          </w:tcPr>
          <w:p>
            <w:pPr>
              <w:jc w:val="left"/>
            </w:pPr>
            <w:r>
              <w:rPr>
                <w:b w:val="false"/>
                <w:bCs w:val="false"/>
                <w:color w:val="222222"/>
                <w:sz w:val="19"/>
                <w:szCs w:val="19"/>
              </w:rPr>
              <w:t xml:space="preserve">54–433 Mbps</w:t>
            </w:r>
          </w:p>
        </w:tc>
        <w:tc>
          <w:tcPr>
            <w:tcW w:type="dxa" w:w="1450"/>
            <w:tcMar>
              <w:top w:type="dxa" w:w="100"/>
              <w:left w:type="dxa" w:w="140"/>
              <w:bottom w:type="dxa" w:w="100"/>
              <w:right w:type="dxa" w:w="140"/>
            </w:tcMar>
            <w:vAlign w:val="center"/>
          </w:tcPr>
          <w:p>
            <w:pPr>
              <w:jc w:val="left"/>
            </w:pPr>
            <w:r>
              <w:rPr>
                <w:b w:val="false"/>
                <w:bCs w:val="false"/>
                <w:color w:val="222222"/>
                <w:sz w:val="19"/>
                <w:szCs w:val="19"/>
              </w:rPr>
              <w:t xml:space="preserve">Days–Weeks</w:t>
            </w:r>
          </w:p>
        </w:tc>
        <w:tc>
          <w:tcPr>
            <w:tcW w:type="dxa" w:w="1400"/>
            <w:tcMar>
              <w:top w:type="dxa" w:w="100"/>
              <w:left w:type="dxa" w:w="140"/>
              <w:bottom w:type="dxa" w:w="100"/>
              <w:right w:type="dxa" w:w="140"/>
            </w:tcMar>
            <w:vAlign w:val="center"/>
          </w:tcPr>
          <w:p>
            <w:pPr>
              <w:jc w:val="left"/>
            </w:pPr>
            <w:r>
              <w:rPr>
                <w:b w:val="false"/>
                <w:bCs w:val="false"/>
                <w:color w:val="222222"/>
                <w:sz w:val="19"/>
                <w:szCs w:val="19"/>
              </w:rPr>
              <w:t xml:space="preserve">Star (AP)</w:t>
            </w:r>
          </w:p>
        </w:tc>
      </w:tr>
      <w:tr>
        <w:tc>
          <w:tcPr>
            <w:tcW w:type="dxa" w:w="1400"/>
            <w:tcMar>
              <w:top w:type="dxa" w:w="100"/>
              <w:left w:type="dxa" w:w="140"/>
              <w:bottom w:type="dxa" w:w="100"/>
              <w:right w:type="dxa" w:w="140"/>
            </w:tcMar>
            <w:vAlign w:val="center"/>
          </w:tcPr>
          <w:p>
            <w:pPr>
              <w:jc w:val="left"/>
            </w:pPr>
            <w:r>
              <w:rPr>
                <w:b w:val="false"/>
                <w:bCs w:val="false"/>
                <w:color w:val="222222"/>
                <w:sz w:val="19"/>
                <w:szCs w:val="19"/>
              </w:rPr>
              <w:t xml:space="preserve">Zigbee 3.0</w:t>
            </w:r>
          </w:p>
        </w:tc>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IEEE 802.15.4</w:t>
            </w:r>
          </w:p>
        </w:tc>
        <w:tc>
          <w:tcPr>
            <w:tcW w:type="dxa" w:w="1700"/>
            <w:tcMar>
              <w:top w:type="dxa" w:w="100"/>
              <w:left w:type="dxa" w:w="140"/>
              <w:bottom w:type="dxa" w:w="100"/>
              <w:right w:type="dxa" w:w="140"/>
            </w:tcMar>
            <w:vAlign w:val="center"/>
          </w:tcPr>
          <w:p>
            <w:pPr>
              <w:jc w:val="left"/>
            </w:pPr>
            <w:r>
              <w:rPr>
                <w:b w:val="false"/>
                <w:bCs w:val="false"/>
                <w:color w:val="222222"/>
                <w:sz w:val="19"/>
                <w:szCs w:val="19"/>
              </w:rPr>
              <w:t xml:space="preserve">2.4 GHz</w:t>
            </w:r>
          </w:p>
        </w:tc>
        <w:tc>
          <w:tcPr>
            <w:tcW w:type="dxa" w:w="1450"/>
            <w:tcMar>
              <w:top w:type="dxa" w:w="100"/>
              <w:left w:type="dxa" w:w="140"/>
              <w:bottom w:type="dxa" w:w="100"/>
              <w:right w:type="dxa" w:w="140"/>
            </w:tcMar>
            <w:vAlign w:val="center"/>
          </w:tcPr>
          <w:p>
            <w:pPr>
              <w:jc w:val="left"/>
            </w:pPr>
            <w:r>
              <w:rPr>
                <w:b w:val="false"/>
                <w:bCs w:val="false"/>
                <w:color w:val="222222"/>
                <w:sz w:val="19"/>
                <w:szCs w:val="19"/>
              </w:rPr>
              <w:t xml:space="preserve">250 kbps</w:t>
            </w:r>
          </w:p>
        </w:tc>
        <w:tc>
          <w:tcPr>
            <w:tcW w:type="dxa" w:w="1450"/>
            <w:tcMar>
              <w:top w:type="dxa" w:w="100"/>
              <w:left w:type="dxa" w:w="140"/>
              <w:bottom w:type="dxa" w:w="100"/>
              <w:right w:type="dxa" w:w="140"/>
            </w:tcMar>
            <w:vAlign w:val="center"/>
          </w:tcPr>
          <w:p>
            <w:pPr>
              <w:jc w:val="left"/>
            </w:pPr>
            <w:r>
              <w:rPr>
                <w:b w:val="false"/>
                <w:bCs w:val="false"/>
                <w:color w:val="222222"/>
                <w:sz w:val="19"/>
                <w:szCs w:val="19"/>
              </w:rPr>
              <w:t xml:space="preserve">Years</w:t>
            </w:r>
          </w:p>
        </w:tc>
        <w:tc>
          <w:tcPr>
            <w:tcW w:type="dxa" w:w="1400"/>
            <w:tcMar>
              <w:top w:type="dxa" w:w="100"/>
              <w:left w:type="dxa" w:w="140"/>
              <w:bottom w:type="dxa" w:w="100"/>
              <w:right w:type="dxa" w:w="140"/>
            </w:tcMar>
            <w:vAlign w:val="center"/>
          </w:tcPr>
          <w:p>
            <w:pPr>
              <w:jc w:val="left"/>
            </w:pPr>
            <w:r>
              <w:rPr>
                <w:b w:val="false"/>
                <w:bCs w:val="false"/>
                <w:color w:val="222222"/>
                <w:sz w:val="19"/>
                <w:szCs w:val="19"/>
              </w:rPr>
              <w:t xml:space="preserve">Mesh</w:t>
            </w:r>
          </w:p>
        </w:tc>
      </w:tr>
      <w:tr>
        <w:tc>
          <w:tcPr>
            <w:tcW w:type="dxa" w:w="1400"/>
            <w:tcMar>
              <w:top w:type="dxa" w:w="100"/>
              <w:left w:type="dxa" w:w="140"/>
              <w:bottom w:type="dxa" w:w="100"/>
              <w:right w:type="dxa" w:w="140"/>
            </w:tcMar>
            <w:vAlign w:val="center"/>
          </w:tcPr>
          <w:p>
            <w:pPr>
              <w:jc w:val="left"/>
            </w:pPr>
            <w:r>
              <w:rPr>
                <w:b w:val="false"/>
                <w:bCs w:val="false"/>
                <w:color w:val="222222"/>
                <w:sz w:val="19"/>
                <w:szCs w:val="19"/>
              </w:rPr>
              <w:t xml:space="preserve">LoRaWAN</w:t>
            </w:r>
          </w:p>
        </w:tc>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Proprietary Chirp</w:t>
            </w:r>
          </w:p>
        </w:tc>
        <w:tc>
          <w:tcPr>
            <w:tcW w:type="dxa" w:w="1700"/>
            <w:tcMar>
              <w:top w:type="dxa" w:w="100"/>
              <w:left w:type="dxa" w:w="140"/>
              <w:bottom w:type="dxa" w:w="100"/>
              <w:right w:type="dxa" w:w="140"/>
            </w:tcMar>
            <w:vAlign w:val="center"/>
          </w:tcPr>
          <w:p>
            <w:pPr>
              <w:jc w:val="left"/>
            </w:pPr>
            <w:r>
              <w:rPr>
                <w:b w:val="false"/>
                <w:bCs w:val="false"/>
                <w:color w:val="222222"/>
                <w:sz w:val="19"/>
                <w:szCs w:val="19"/>
              </w:rPr>
              <w:t xml:space="preserve">Sub-GHz (915 MHz)</w:t>
            </w:r>
          </w:p>
        </w:tc>
        <w:tc>
          <w:tcPr>
            <w:tcW w:type="dxa" w:w="1450"/>
            <w:tcMar>
              <w:top w:type="dxa" w:w="100"/>
              <w:left w:type="dxa" w:w="140"/>
              <w:bottom w:type="dxa" w:w="100"/>
              <w:right w:type="dxa" w:w="140"/>
            </w:tcMar>
            <w:vAlign w:val="center"/>
          </w:tcPr>
          <w:p>
            <w:pPr>
              <w:jc w:val="left"/>
            </w:pPr>
            <w:r>
              <w:rPr>
                <w:b w:val="false"/>
                <w:bCs w:val="false"/>
                <w:color w:val="222222"/>
                <w:sz w:val="19"/>
                <w:szCs w:val="19"/>
              </w:rPr>
              <w:t xml:space="preserve">0.3–50 kbps</w:t>
            </w:r>
          </w:p>
        </w:tc>
        <w:tc>
          <w:tcPr>
            <w:tcW w:type="dxa" w:w="1450"/>
            <w:tcMar>
              <w:top w:type="dxa" w:w="100"/>
              <w:left w:type="dxa" w:w="140"/>
              <w:bottom w:type="dxa" w:w="100"/>
              <w:right w:type="dxa" w:w="140"/>
            </w:tcMar>
            <w:vAlign w:val="center"/>
          </w:tcPr>
          <w:p>
            <w:pPr>
              <w:jc w:val="left"/>
            </w:pPr>
            <w:r>
              <w:rPr>
                <w:b w:val="false"/>
                <w:bCs w:val="false"/>
                <w:color w:val="222222"/>
                <w:sz w:val="19"/>
                <w:szCs w:val="19"/>
              </w:rPr>
              <w:t xml:space="preserve">5–10 Years</w:t>
            </w:r>
          </w:p>
        </w:tc>
        <w:tc>
          <w:tcPr>
            <w:tcW w:type="dxa" w:w="1400"/>
            <w:tcMar>
              <w:top w:type="dxa" w:w="100"/>
              <w:left w:type="dxa" w:w="140"/>
              <w:bottom w:type="dxa" w:w="100"/>
              <w:right w:type="dxa" w:w="140"/>
            </w:tcMar>
            <w:vAlign w:val="center"/>
          </w:tcPr>
          <w:p>
            <w:pPr>
              <w:jc w:val="left"/>
            </w:pPr>
            <w:r>
              <w:rPr>
                <w:b w:val="false"/>
                <w:bCs w:val="false"/>
                <w:color w:val="222222"/>
                <w:sz w:val="19"/>
                <w:szCs w:val="19"/>
              </w:rPr>
              <w:t xml:space="preserve">Star-of-Stars</w:t>
            </w:r>
          </w:p>
        </w:tc>
      </w:tr>
    </w:tbl>
    <w:p>
      <w:pPr>
        <w:spacing w:after="140"/>
      </w:pPr>
    </w:p>
    <w:tbl>
      <w:tblPr>
        <w:tblW w:type="pct" w:w="100%"/>
        <w:tblBorders>
          <w:top w:val="single" w:color="1E2761" w:sz="4"/>
          <w:left w:val="single" w:color="1E2761" w:sz="4"/>
          <w:bottom w:val="single" w:color="1E2761" w:sz="4"/>
          <w:right w:val="single" w:color="1E2761" w:sz="4"/>
          <w:insideH w:val="none" w:color="FFFFFF" w:sz="0"/>
          <w:insideV w:val="none" w:color="FFFFFF" w:sz="0"/>
        </w:tblBorders>
      </w:tblPr>
      <w:tblGrid>
        <w:gridCol w:w="100"/>
      </w:tblGrid>
      <w:tr>
        <w:tc>
          <w:tcPr>
            <w:shd w:fill="F2F5FC" w:val="clear"/>
            <w:tcMar>
              <w:top w:type="dxa" w:w="160"/>
              <w:left w:type="dxa" w:w="220"/>
              <w:bottom w:type="dxa" w:w="160"/>
              <w:right w:type="dxa" w:w="220"/>
            </w:tcMar>
          </w:tcPr>
          <w:p>
            <w:pPr>
              <w:spacing w:after="80"/>
            </w:pPr>
            <w:r>
              <w:rPr>
                <w:b/>
                <w:bCs/>
                <w:color w:val="1E2761"/>
                <w:sz w:val="21"/>
                <w:szCs w:val="21"/>
              </w:rPr>
              <w:t xml:space="preserve">Demo Protocol Decision</w:t>
            </w:r>
          </w:p>
          <w:p>
            <w:pPr>
              <w:spacing w:after="0" w:line="268"/>
            </w:pPr>
            <w:r>
              <w:rPr>
                <w:color w:val="222222"/>
                <w:sz w:val="21"/>
                <w:szCs w:val="21"/>
              </w:rPr>
              <w:t xml:space="preserve">The project standardizes on BLE 5.0 GATT / Advertising for sensor end-nodes. This maximizes end-device battery longevity by keeping the radio duty cycle extremely low, and deliberately delegates all long-range, IP-based communication responsibility to the Gateway tier rather than the sensor node.</w:t>
            </w:r>
          </w:p>
        </w:tc>
      </w:tr>
    </w:tbl>
    <w:p>
      <w:pPr>
        <w:pStyle w:val="Heading1"/>
        <w:pBdr>
          <w:bottom w:val="single" w:color="C9D3E0" w:sz="6" w:space="6"/>
        </w:pBdr>
        <w:spacing w:after="200" w:before="420"/>
      </w:pPr>
      <w:r>
        <w:rPr>
          <w:b/>
          <w:bCs/>
          <w:color w:val="1E2761"/>
          <w:sz w:val="30"/>
          <w:szCs w:val="30"/>
        </w:rPr>
        <w:t xml:space="preserve">5. End-Device Firmware Design</w:t>
      </w:r>
    </w:p>
    <w:p>
      <w:pPr>
        <w:pStyle w:val="Heading2"/>
        <w:spacing w:after="140" w:before="300"/>
      </w:pPr>
      <w:r>
        <w:rPr>
          <w:b/>
          <w:bCs/>
          <w:color w:val="1E2761"/>
          <w:sz w:val="24"/>
          <w:szCs w:val="24"/>
        </w:rPr>
        <w:t xml:space="preserve">5.1 Development Stack and Radio Configuration</w:t>
      </w:r>
    </w:p>
    <w:p>
      <w:pPr>
        <w:spacing w:after="160" w:line="276"/>
        <w:jc w:val="left"/>
      </w:pPr>
      <w:r>
        <w:rPr>
          <w:color w:val="222222"/>
          <w:sz w:val="21"/>
          <w:szCs w:val="21"/>
        </w:rPr>
        <w:t xml:space="preserve">Firmware is developed in either C++ (using the ESP-IDF or Arduino core) or MicroPython, depending on team preference and performance needs; C++/ESP-IDF is preferred where the tightest power budget is required. The device is configured as a BLE Peripheral / Server exposing a custom GATT (Generic Attribute Profile) service, and can operate either by periodically broadcasting GATT service attributes or in a pure low-energy advertisement mode when no active connection is needed.</w:t>
      </w:r>
    </w:p>
    <w:p>
      <w:pPr>
        <w:pStyle w:val="Heading2"/>
        <w:spacing w:after="140" w:before="300"/>
      </w:pPr>
      <w:r>
        <w:rPr>
          <w:b/>
          <w:bCs/>
          <w:color w:val="1E2761"/>
          <w:sz w:val="24"/>
          <w:szCs w:val="24"/>
        </w:rPr>
        <w:t xml:space="preserve">5.2 Power Optimization — Duty Cycle Strategy</w:t>
      </w:r>
    </w:p>
    <w:p>
      <w:pPr>
        <w:spacing w:after="160" w:line="276"/>
        <w:jc w:val="left"/>
      </w:pPr>
      <w:r>
        <w:rPr>
          <w:color w:val="222222"/>
          <w:sz w:val="21"/>
          <w:szCs w:val="21"/>
        </w:rPr>
        <w:t xml:space="preserve">Because the end device is battery-powered, firmware is built around a deep-sleep duty cycle rather than continuous operation. The microcontroller's internal RTC timer wakes the device on a fixed interval, after which it performs a short burst of work and immediately returns to sleep. Active current draw is approximately 80 mA; deep-sleep current draw drops below 10 μA — roughly four orders of magnitude lower, which is what makes multi-month battery life achievable.</w:t>
      </w:r>
    </w:p>
    <w:p>
      <w:pPr>
        <w:pStyle w:val="ListParagraph"/>
        <w:numPr>
          <w:ilvl w:val="0"/>
          <w:numId w:val="3"/>
        </w:numPr>
        <w:spacing w:after="90" w:line="268"/>
      </w:pPr>
      <w:r>
        <w:rPr>
          <w:color w:val="222222"/>
          <w:sz w:val="21"/>
          <w:szCs w:val="21"/>
        </w:rPr>
        <w:t xml:space="preserve">Wake from Deep Sleep via the internal RTC timer (e.g., every 30 seconds).</w:t>
      </w:r>
    </w:p>
    <w:p>
      <w:pPr>
        <w:pStyle w:val="ListParagraph"/>
        <w:numPr>
          <w:ilvl w:val="0"/>
          <w:numId w:val="3"/>
        </w:numPr>
        <w:spacing w:after="90" w:line="268"/>
      </w:pPr>
      <w:r>
        <w:rPr>
          <w:color w:val="222222"/>
          <w:sz w:val="21"/>
          <w:szCs w:val="21"/>
        </w:rPr>
        <w:t xml:space="preserve">Power up sensors via a GPIO switch, take sample readings over I²C, and format the payload.</w:t>
      </w:r>
    </w:p>
    <w:p>
      <w:pPr>
        <w:pStyle w:val="ListParagraph"/>
        <w:numPr>
          <w:ilvl w:val="0"/>
          <w:numId w:val="3"/>
        </w:numPr>
        <w:spacing w:after="90" w:line="268"/>
      </w:pPr>
      <w:r>
        <w:rPr>
          <w:color w:val="222222"/>
          <w:sz w:val="21"/>
          <w:szCs w:val="21"/>
        </w:rPr>
        <w:t xml:space="preserve">Broadcast the data via a BLE Non-Connectable Advertisement or a GATT Notification.</w:t>
      </w:r>
    </w:p>
    <w:p>
      <w:pPr>
        <w:pStyle w:val="ListParagraph"/>
        <w:numPr>
          <w:ilvl w:val="0"/>
          <w:numId w:val="3"/>
        </w:numPr>
        <w:spacing w:after="90" w:line="268"/>
      </w:pPr>
      <w:r>
        <w:rPr>
          <w:color w:val="222222"/>
          <w:sz w:val="21"/>
          <w:szCs w:val="21"/>
        </w:rPr>
        <w:t xml:space="preserve">Re-enter Deep Sleep Mode to minimize average power consumption.</w:t>
      </w:r>
    </w:p>
    <w:p>
      <w:pPr>
        <w:pStyle w:val="Heading1"/>
        <w:pBdr>
          <w:bottom w:val="single" w:color="C9D3E0" w:sz="6" w:space="6"/>
        </w:pBdr>
        <w:spacing w:after="200" w:before="420"/>
      </w:pPr>
      <w:r>
        <w:rPr>
          <w:b/>
          <w:bCs/>
          <w:color w:val="1E2761"/>
          <w:sz w:val="30"/>
          <w:szCs w:val="30"/>
        </w:rPr>
        <w:t xml:space="preserve">6. Southbound Network — the Proximity Link</w:t>
      </w:r>
    </w:p>
    <w:p>
      <w:pPr>
        <w:spacing w:after="160" w:line="276"/>
        <w:jc w:val="left"/>
      </w:pPr>
      <w:r>
        <w:rPr>
          <w:color w:val="222222"/>
          <w:sz w:val="21"/>
          <w:szCs w:val="21"/>
        </w:rPr>
        <w:t xml:space="preserve">In multi-tier IoT architecture terminology, the Southbound Network (also called the Field-Area Network or Perception Tier link) is the local, short-range connection between constrained end devices and the Edge Gateway. It is optimized for local reliability and low power, not for global range — that responsibility belongs to the Northbound link described in Section 8.</w:t>
      </w:r>
    </w:p>
    <w:p>
      <w:pPr>
        <w:pStyle w:val="Heading2"/>
        <w:spacing w:after="140" w:before="300"/>
      </w:pPr>
      <w:r>
        <w:rPr>
          <w:b/>
          <w:bCs/>
          <w:color w:val="1E2761"/>
          <w:sz w:val="24"/>
          <w:szCs w:val="24"/>
        </w:rPr>
        <w:t xml:space="preserve">6.1 Why the Edge/Gateway Pattern Is Necessary</w:t>
      </w:r>
    </w:p>
    <w:p>
      <w:pPr>
        <w:spacing w:after="160" w:line="276"/>
        <w:jc w:val="left"/>
      </w:pPr>
      <w:r>
        <w:rPr>
          <w:color w:val="222222"/>
          <w:sz w:val="21"/>
          <w:szCs w:val="21"/>
        </w:rPr>
        <w:t xml:space="preserve">End devices with serial-only interfaces or minimal RAM cannot terminate a direct connection to the cloud. Concretely, devices such as the ESP32, nRF52840, or an STMicroelectronics SensorTile cannot run a standard TCP/IP stack or perform resource-heavy mTLS cryptographic handshakes within their power and memory limits. The gateway's Southbound adapter instead ingests raw BLE frames locally and bridges them to the Northbound IP network on the device's behalf. The pattern solves three concrete problems:</w:t>
      </w:r>
    </w:p>
    <w:p>
      <w:pPr>
        <w:pStyle w:val="ListParagraph"/>
        <w:numPr>
          <w:ilvl w:val="0"/>
          <w:numId w:val="2"/>
        </w:numPr>
        <w:spacing w:after="90" w:line="268"/>
      </w:pPr>
      <w:r>
        <w:rPr>
          <w:color w:val="222222"/>
          <w:sz w:val="21"/>
          <w:szCs w:val="21"/>
        </w:rPr>
        <w:t xml:space="preserve">Protocol Bridge — translates specialized or local-only protocols (e.g., Modbus/RS-485, Zigbee2MQTT, raw BLE GATT) into web-compatible protocols such as MQTT.</w:t>
      </w:r>
    </w:p>
    <w:p>
      <w:pPr>
        <w:pStyle w:val="ListParagraph"/>
        <w:numPr>
          <w:ilvl w:val="0"/>
          <w:numId w:val="2"/>
        </w:numPr>
        <w:spacing w:after="90" w:line="268"/>
      </w:pPr>
      <w:r>
        <w:rPr>
          <w:color w:val="222222"/>
          <w:sz w:val="21"/>
          <w:szCs w:val="21"/>
        </w:rPr>
        <w:t xml:space="preserve">Edge Processing — filters noise and processes data locally, which reduces upstream bandwidth and improves end-to-end responsiveness.</w:t>
      </w:r>
    </w:p>
    <w:p>
      <w:pPr>
        <w:pStyle w:val="ListParagraph"/>
        <w:numPr>
          <w:ilvl w:val="0"/>
          <w:numId w:val="2"/>
        </w:numPr>
        <w:spacing w:after="90" w:line="268"/>
      </w:pPr>
      <w:r>
        <w:rPr>
          <w:color w:val="222222"/>
          <w:sz w:val="21"/>
          <w:szCs w:val="21"/>
        </w:rPr>
        <w:t xml:space="preserve">Local Survivability — keeps critical local behavior running even if the wide-area cloud connection is temporarily unavailable.</w:t>
      </w:r>
    </w:p>
    <w:p>
      <w:pPr>
        <w:pStyle w:val="Heading2"/>
        <w:spacing w:after="140" w:before="300"/>
      </w:pPr>
      <w:r>
        <w:rPr>
          <w:b/>
          <w:bCs/>
          <w:color w:val="1E2761"/>
          <w:sz w:val="24"/>
          <w:szCs w:val="24"/>
        </w:rPr>
        <w:t xml:space="preserve">6.2 Southbound BLE Communication Patterns</w:t>
      </w:r>
    </w:p>
    <w:p>
      <w:pPr>
        <w:spacing w:after="160" w:line="276"/>
        <w:jc w:val="left"/>
      </w:pPr>
      <w:r>
        <w:rPr>
          <w:color w:val="222222"/>
          <w:sz w:val="21"/>
          <w:szCs w:val="21"/>
        </w:rPr>
        <w:t xml:space="preserve">The gateway's BLE host adapter can interact with field nodes using one of two patterns, each with distinct power, reliability, and security trade-offs:</w:t>
      </w:r>
    </w:p>
    <w:p>
      <w:pPr>
        <w:pStyle w:val="ListParagraph"/>
        <w:numPr>
          <w:ilvl w:val="0"/>
          <w:numId w:val="2"/>
        </w:numPr>
        <w:spacing w:after="90" w:line="268"/>
      </w:pPr>
      <w:r>
        <w:rPr>
          <w:color w:val="222222"/>
          <w:sz w:val="21"/>
          <w:szCs w:val="21"/>
        </w:rPr>
        <w:t xml:space="preserve">Connectionless Advertising — passive beacon ingestion for unidirectional, low-power telemetry and broadcasting; no connection state is maintained.</w:t>
      </w:r>
    </w:p>
    <w:p>
      <w:pPr>
        <w:pStyle w:val="ListParagraph"/>
        <w:numPr>
          <w:ilvl w:val="0"/>
          <w:numId w:val="2"/>
        </w:numPr>
        <w:spacing w:after="90" w:line="268"/>
      </w:pPr>
      <w:r>
        <w:rPr>
          <w:color w:val="222222"/>
          <w:sz w:val="21"/>
          <w:szCs w:val="21"/>
        </w:rPr>
        <w:t xml:space="preserve">Connected GATT Services — an active, bidirectional connection used for reliable data exchange and device control, at a higher power and complexity cost.</w:t>
      </w:r>
    </w:p>
    <w:p>
      <w:pPr>
        <w:spacing w:after="80" w:before="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390775"/>
                    </a:xfrm>
                    <a:prstGeom prst="rect">
                      <a:avLst/>
                    </a:prstGeom>
                  </pic:spPr>
                </pic:pic>
              </a:graphicData>
            </a:graphic>
          </wp:inline>
        </w:drawing>
      </w:r>
    </w:p>
    <w:p>
      <w:pPr>
        <w:spacing w:after="220"/>
        <w:jc w:val="center"/>
      </w:pPr>
      <w:r>
        <w:rPr>
          <w:i/>
          <w:iCs/>
          <w:color w:val="5A6472"/>
          <w:sz w:val="18"/>
          <w:szCs w:val="18"/>
        </w:rPr>
        <w:t xml:space="preserve">Figure 4. Comparative analysis of passive BLE broadcasting versus connected GATT operation across reliability, power draw, security, bandwidth, and implementation complexity. (Course reference material, Professor Liang Li, TECH 300.)</w:t>
      </w:r>
    </w:p>
    <w:p>
      <w:pPr>
        <w:spacing w:after="160" w:line="276"/>
        <w:jc w:val="left"/>
      </w:pPr>
      <w:r>
        <w:rPr>
          <w:color w:val="222222"/>
          <w:sz w:val="21"/>
          <w:szCs w:val="21"/>
        </w:rPr>
        <w:t xml:space="preserve">The Edge Gateway exposes its Southbound interface through an onboard physical Bluetooth adapter acting as the Central Node / Host — typically exposed via BlueZ on Linux through a controller such as /dev/ttyHCI0, or a direct USB/UART BLE controller.</w:t>
      </w:r>
    </w:p>
    <w:p>
      <w:pPr>
        <w:pStyle w:val="Heading1"/>
        <w:pBdr>
          <w:bottom w:val="single" w:color="C9D3E0" w:sz="6" w:space="6"/>
        </w:pBdr>
        <w:spacing w:after="200" w:before="420"/>
      </w:pPr>
      <w:r>
        <w:rPr>
          <w:b/>
          <w:bCs/>
          <w:color w:val="1E2761"/>
          <w:sz w:val="30"/>
          <w:szCs w:val="30"/>
        </w:rPr>
        <w:t xml:space="preserve">7. Edge Gateway Architecture</w:t>
      </w:r>
    </w:p>
    <w:p>
      <w:pPr>
        <w:pStyle w:val="Heading2"/>
        <w:spacing w:after="140" w:before="300"/>
      </w:pPr>
      <w:r>
        <w:rPr>
          <w:b/>
          <w:bCs/>
          <w:color w:val="1E2761"/>
          <w:sz w:val="24"/>
          <w:szCs w:val="24"/>
        </w:rPr>
        <w:t xml:space="preserve">7.1 Gateway Hardware and OS Stack</w:t>
      </w:r>
    </w:p>
    <w:tbl>
      <w:tblPr>
        <w:tblW w:type="dxa" w:w="9600"/>
        <w:tblBorders>
          <w:top w:val="single" w:color="C9D3E0" w:sz="4"/>
          <w:left w:val="single" w:color="C9D3E0" w:sz="4"/>
          <w:bottom w:val="single" w:color="C9D3E0" w:sz="4"/>
          <w:right w:val="single" w:color="C9D3E0" w:sz="4"/>
          <w:insideH w:val="single" w:color="C9D3E0" w:sz="4"/>
          <w:insideV w:val="single" w:color="C9D3E0" w:sz="4"/>
        </w:tblBorders>
      </w:tblPr>
      <w:tblGrid>
        <w:gridCol w:w="2000"/>
        <w:gridCol w:w="3400"/>
        <w:gridCol w:w="4200"/>
      </w:tblGrid>
      <w:tr>
        <w:trPr>
          <w:tblHeader/>
        </w:trPr>
        <w:tc>
          <w:tcPr>
            <w:tcW w:type="dxa" w:w="2000"/>
            <w:shd w:fill="1E2761" w:val="clear"/>
            <w:tcMar>
              <w:top w:type="dxa" w:w="100"/>
              <w:left w:type="dxa" w:w="140"/>
              <w:bottom w:type="dxa" w:w="100"/>
              <w:right w:type="dxa" w:w="140"/>
            </w:tcMar>
            <w:vAlign w:val="center"/>
          </w:tcPr>
          <w:p>
            <w:pPr>
              <w:jc w:val="left"/>
            </w:pPr>
            <w:r>
              <w:rPr>
                <w:b/>
                <w:bCs/>
                <w:color w:val="FFFFFF"/>
                <w:sz w:val="19"/>
                <w:szCs w:val="19"/>
              </w:rPr>
              <w:t xml:space="preserve">Option</w:t>
            </w:r>
          </w:p>
        </w:tc>
        <w:tc>
          <w:tcPr>
            <w:tcW w:type="dxa" w:w="3400"/>
            <w:shd w:fill="1E2761" w:val="clear"/>
            <w:tcMar>
              <w:top w:type="dxa" w:w="100"/>
              <w:left w:type="dxa" w:w="140"/>
              <w:bottom w:type="dxa" w:w="100"/>
              <w:right w:type="dxa" w:w="140"/>
            </w:tcMar>
            <w:vAlign w:val="center"/>
          </w:tcPr>
          <w:p>
            <w:pPr>
              <w:jc w:val="left"/>
            </w:pPr>
            <w:r>
              <w:rPr>
                <w:b/>
                <w:bCs/>
                <w:color w:val="FFFFFF"/>
                <w:sz w:val="19"/>
                <w:szCs w:val="19"/>
              </w:rPr>
              <w:t xml:space="preserve">Hardware</w:t>
            </w:r>
          </w:p>
        </w:tc>
        <w:tc>
          <w:tcPr>
            <w:tcW w:type="dxa" w:w="4200"/>
            <w:shd w:fill="1E2761" w:val="clear"/>
            <w:tcMar>
              <w:top w:type="dxa" w:w="100"/>
              <w:left w:type="dxa" w:w="140"/>
              <w:bottom w:type="dxa" w:w="100"/>
              <w:right w:type="dxa" w:w="140"/>
            </w:tcMar>
            <w:vAlign w:val="center"/>
          </w:tcPr>
          <w:p>
            <w:pPr>
              <w:jc w:val="left"/>
            </w:pPr>
            <w:r>
              <w:rPr>
                <w:b/>
                <w:bCs/>
                <w:color w:val="FFFFFF"/>
                <w:sz w:val="19"/>
                <w:szCs w:val="19"/>
              </w:rPr>
              <w:t xml:space="preserve">Operating System</w:t>
            </w:r>
          </w:p>
        </w:tc>
      </w:tr>
      <w:tr>
        <w:tc>
          <w:tcPr>
            <w:tcW w:type="dxa" w:w="2000"/>
            <w:tcMar>
              <w:top w:type="dxa" w:w="100"/>
              <w:left w:type="dxa" w:w="140"/>
              <w:bottom w:type="dxa" w:w="100"/>
              <w:right w:type="dxa" w:w="140"/>
            </w:tcMar>
            <w:vAlign w:val="center"/>
          </w:tcPr>
          <w:p>
            <w:pPr>
              <w:jc w:val="left"/>
            </w:pPr>
            <w:r>
              <w:rPr>
                <w:b w:val="false"/>
                <w:bCs w:val="false"/>
                <w:color w:val="222222"/>
                <w:sz w:val="19"/>
                <w:szCs w:val="19"/>
              </w:rPr>
              <w:t xml:space="preserve">A (default)</w:t>
            </w:r>
          </w:p>
        </w:tc>
        <w:tc>
          <w:tcPr>
            <w:tcW w:type="dxa" w:w="3400"/>
            <w:tcMar>
              <w:top w:type="dxa" w:w="100"/>
              <w:left w:type="dxa" w:w="140"/>
              <w:bottom w:type="dxa" w:w="100"/>
              <w:right w:type="dxa" w:w="140"/>
            </w:tcMar>
            <w:vAlign w:val="center"/>
          </w:tcPr>
          <w:p>
            <w:pPr>
              <w:jc w:val="left"/>
            </w:pPr>
            <w:r>
              <w:rPr>
                <w:b w:val="false"/>
                <w:bCs w:val="false"/>
                <w:color w:val="222222"/>
                <w:sz w:val="19"/>
                <w:szCs w:val="19"/>
              </w:rPr>
              <w:t xml:space="preserve">Raspberry Pi 4 Model B (4GB)</w:t>
            </w:r>
          </w:p>
        </w:tc>
        <w:tc>
          <w:tcPr>
            <w:tcW w:type="dxa" w:w="4200"/>
            <w:tcMar>
              <w:top w:type="dxa" w:w="100"/>
              <w:left w:type="dxa" w:w="140"/>
              <w:bottom w:type="dxa" w:w="100"/>
              <w:right w:type="dxa" w:w="140"/>
            </w:tcMar>
            <w:vAlign w:val="center"/>
          </w:tcPr>
          <w:p>
            <w:pPr>
              <w:jc w:val="left"/>
            </w:pPr>
            <w:r>
              <w:rPr>
                <w:b w:val="false"/>
                <w:bCs w:val="false"/>
                <w:color w:val="222222"/>
                <w:sz w:val="19"/>
                <w:szCs w:val="19"/>
              </w:rPr>
              <w:t xml:space="preserve">Raspberry Pi OS Lite (64-bit, Headless) or Ubuntu Server 22.04 LTS</w:t>
            </w:r>
          </w:p>
        </w:tc>
      </w:tr>
      <w:tr>
        <w:tc>
          <w:tcPr>
            <w:tcW w:type="dxa" w:w="2000"/>
            <w:tcMar>
              <w:top w:type="dxa" w:w="100"/>
              <w:left w:type="dxa" w:w="140"/>
              <w:bottom w:type="dxa" w:w="100"/>
              <w:right w:type="dxa" w:w="140"/>
            </w:tcMar>
            <w:vAlign w:val="center"/>
          </w:tcPr>
          <w:p>
            <w:pPr>
              <w:jc w:val="left"/>
            </w:pPr>
            <w:r>
              <w:rPr>
                <w:b w:val="false"/>
                <w:bCs w:val="false"/>
                <w:color w:val="222222"/>
                <w:sz w:val="19"/>
                <w:szCs w:val="19"/>
              </w:rPr>
              <w:t xml:space="preserve">B (industrial)</w:t>
            </w:r>
          </w:p>
        </w:tc>
        <w:tc>
          <w:tcPr>
            <w:tcW w:type="dxa" w:w="3400"/>
            <w:tcMar>
              <w:top w:type="dxa" w:w="100"/>
              <w:left w:type="dxa" w:w="140"/>
              <w:bottom w:type="dxa" w:w="100"/>
              <w:right w:type="dxa" w:w="140"/>
            </w:tcMar>
            <w:vAlign w:val="center"/>
          </w:tcPr>
          <w:p>
            <w:pPr>
              <w:jc w:val="left"/>
            </w:pPr>
            <w:r>
              <w:rPr>
                <w:b w:val="false"/>
                <w:bCs w:val="false"/>
                <w:color w:val="222222"/>
                <w:sz w:val="19"/>
                <w:szCs w:val="19"/>
              </w:rPr>
              <w:t xml:space="preserve">Advantech UNO-220 Industrial Gateway</w:t>
            </w:r>
          </w:p>
        </w:tc>
        <w:tc>
          <w:tcPr>
            <w:tcW w:type="dxa" w:w="4200"/>
            <w:tcMar>
              <w:top w:type="dxa" w:w="100"/>
              <w:left w:type="dxa" w:w="140"/>
              <w:bottom w:type="dxa" w:w="100"/>
              <w:right w:type="dxa" w:w="140"/>
            </w:tcMar>
            <w:vAlign w:val="center"/>
          </w:tcPr>
          <w:p>
            <w:pPr>
              <w:jc w:val="left"/>
            </w:pPr>
            <w:r>
              <w:rPr>
                <w:b w:val="false"/>
                <w:bCs w:val="false"/>
                <w:color w:val="222222"/>
                <w:sz w:val="19"/>
                <w:szCs w:val="19"/>
              </w:rPr>
              <w:t xml:space="preserve">Ubuntu Server 22.04 LTS</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20"/>
              <w:jc w:val="center"/>
            </w:pPr>
            <w:r>
              <w:drawing>
                <wp:inline distT="0" distB="0" distL="0" distR="0">
                  <wp:extent cx="219075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1676400"/>
                          </a:xfrm>
                          <a:prstGeom prst="rect">
                            <a:avLst/>
                          </a:prstGeom>
                        </pic:spPr>
                      </pic:pic>
                    </a:graphicData>
                  </a:graphic>
                </wp:inline>
              </w:drawing>
            </w:r>
          </w:p>
          <w:p>
            <w:pPr>
              <w:spacing w:after="220"/>
              <w:jc w:val="center"/>
            </w:pPr>
            <w:r>
              <w:rPr>
                <w:i/>
                <w:iCs/>
                <w:color w:val="5A6472"/>
                <w:sz w:val="18"/>
                <w:szCs w:val="18"/>
              </w:rPr>
              <w:t xml:space="preserve">Figure 5a. Raspberry Pi 4 Model B — primary reference gateway hardware.</w:t>
            </w:r>
          </w:p>
        </w:tc>
        <w:tc>
          <w:tcPr>
            <w:tcW w:type="pct" w:w="50%"/>
          </w:tcPr>
          <w:p>
            <w:pPr>
              <w:spacing w:after="80" w:before="120"/>
              <w:jc w:val="center"/>
            </w:pPr>
            <w:r>
              <w:drawing>
                <wp:inline distT="0" distB="0" distL="0" distR="0">
                  <wp:extent cx="1809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750" cy="1809750"/>
                          </a:xfrm>
                          <a:prstGeom prst="rect">
                            <a:avLst/>
                          </a:prstGeom>
                        </pic:spPr>
                      </pic:pic>
                    </a:graphicData>
                  </a:graphic>
                </wp:inline>
              </w:drawing>
            </w:r>
          </w:p>
          <w:p>
            <w:pPr>
              <w:spacing w:after="220"/>
              <w:jc w:val="center"/>
            </w:pPr>
            <w:r>
              <w:rPr>
                <w:i/>
                <w:iCs/>
                <w:color w:val="5A6472"/>
                <w:sz w:val="18"/>
                <w:szCs w:val="18"/>
              </w:rPr>
              <w:t xml:space="preserve">Figure 5b. Advantech UNO-220 — industrial-grade alternative gateway.</w:t>
            </w:r>
          </w:p>
        </w:tc>
      </w:tr>
    </w:tbl>
    <w:p>
      <w:pPr>
        <w:spacing w:after="120"/>
      </w:pPr>
    </w:p>
    <w:p>
      <w:pPr>
        <w:pStyle w:val="Heading2"/>
        <w:spacing w:after="140" w:before="300"/>
      </w:pPr>
      <w:r>
        <w:rPr>
          <w:b/>
          <w:bCs/>
          <w:color w:val="1E2761"/>
          <w:sz w:val="24"/>
          <w:szCs w:val="24"/>
        </w:rPr>
        <w:t xml:space="preserve">7.2 Software Stack and Purpose</w:t>
      </w:r>
    </w:p>
    <w:p>
      <w:pPr>
        <w:spacing w:after="160" w:line="276"/>
        <w:jc w:val="left"/>
      </w:pPr>
      <w:r>
        <w:rPr>
          <w:color w:val="222222"/>
          <w:sz w:val="21"/>
          <w:szCs w:val="21"/>
        </w:rPr>
        <w:t xml:space="preserve">The gateway runs a custom Python engine built on two libraries: bleak, an async BLE client for the Southbound link, and paho-mqtt, an MQTT client for the Northbound link. Functionally, the gateway performs protocol translation — converting raw BLE GATT bytes into structured JSON carried over TCP/IP via MQTT — and acts as an operational buffer that can continue logging locally during an internet outage.</w:t>
      </w:r>
    </w:p>
    <w:p>
      <w:pPr>
        <w:pStyle w:val="Heading2"/>
        <w:spacing w:after="140" w:before="300"/>
      </w:pPr>
      <w:r>
        <w:rPr>
          <w:b/>
          <w:bCs/>
          <w:color w:val="1E2761"/>
          <w:sz w:val="24"/>
          <w:szCs w:val="24"/>
        </w:rPr>
        <w:t xml:space="preserve">7.3 Interfaces</w:t>
      </w:r>
    </w:p>
    <w:tbl>
      <w:tblPr>
        <w:tblW w:type="dxa" w:w="9600"/>
        <w:tblBorders>
          <w:top w:val="single" w:color="C9D3E0" w:sz="4"/>
          <w:left w:val="single" w:color="C9D3E0" w:sz="4"/>
          <w:bottom w:val="single" w:color="C9D3E0" w:sz="4"/>
          <w:right w:val="single" w:color="C9D3E0" w:sz="4"/>
          <w:insideH w:val="single" w:color="C9D3E0" w:sz="4"/>
          <w:insideV w:val="single" w:color="C9D3E0" w:sz="4"/>
        </w:tblBorders>
      </w:tblPr>
      <w:tblGrid>
        <w:gridCol w:w="1900"/>
        <w:gridCol w:w="3100"/>
        <w:gridCol w:w="4600"/>
      </w:tblGrid>
      <w:tr>
        <w:trPr>
          <w:tblHeader/>
        </w:trPr>
        <w:tc>
          <w:tcPr>
            <w:tcW w:type="dxa" w:w="1900"/>
            <w:shd w:fill="1E2761" w:val="clear"/>
            <w:tcMar>
              <w:top w:type="dxa" w:w="100"/>
              <w:left w:type="dxa" w:w="140"/>
              <w:bottom w:type="dxa" w:w="100"/>
              <w:right w:type="dxa" w:w="140"/>
            </w:tcMar>
            <w:vAlign w:val="center"/>
          </w:tcPr>
          <w:p>
            <w:pPr>
              <w:jc w:val="left"/>
            </w:pPr>
            <w:r>
              <w:rPr>
                <w:b/>
                <w:bCs/>
                <w:color w:val="FFFFFF"/>
                <w:sz w:val="19"/>
                <w:szCs w:val="19"/>
              </w:rPr>
              <w:t xml:space="preserve">Interface</w:t>
            </w:r>
          </w:p>
        </w:tc>
        <w:tc>
          <w:tcPr>
            <w:tcW w:type="dxa" w:w="3100"/>
            <w:shd w:fill="1E2761" w:val="clear"/>
            <w:tcMar>
              <w:top w:type="dxa" w:w="100"/>
              <w:left w:type="dxa" w:w="140"/>
              <w:bottom w:type="dxa" w:w="100"/>
              <w:right w:type="dxa" w:w="140"/>
            </w:tcMar>
            <w:vAlign w:val="center"/>
          </w:tcPr>
          <w:p>
            <w:pPr>
              <w:jc w:val="left"/>
            </w:pPr>
            <w:r>
              <w:rPr>
                <w:b/>
                <w:bCs/>
                <w:color w:val="FFFFFF"/>
                <w:sz w:val="19"/>
                <w:szCs w:val="19"/>
              </w:rPr>
              <w:t xml:space="preserve">Direction</w:t>
            </w:r>
          </w:p>
        </w:tc>
        <w:tc>
          <w:tcPr>
            <w:tcW w:type="dxa" w:w="4600"/>
            <w:shd w:fill="1E2761" w:val="clear"/>
            <w:tcMar>
              <w:top w:type="dxa" w:w="100"/>
              <w:left w:type="dxa" w:w="140"/>
              <w:bottom w:type="dxa" w:w="100"/>
              <w:right w:type="dxa" w:w="140"/>
            </w:tcMar>
            <w:vAlign w:val="center"/>
          </w:tcPr>
          <w:p>
            <w:pPr>
              <w:jc w:val="left"/>
            </w:pPr>
            <w:r>
              <w:rPr>
                <w:b/>
                <w:bCs/>
                <w:color w:val="FFFFFF"/>
                <w:sz w:val="19"/>
                <w:szCs w:val="19"/>
              </w:rPr>
              <w:t xml:space="preserve">Technology</w:t>
            </w:r>
          </w:p>
        </w:tc>
      </w:tr>
      <w:tr>
        <w:tc>
          <w:tcPr>
            <w:tcW w:type="dxa" w:w="1900"/>
            <w:tcMar>
              <w:top w:type="dxa" w:w="100"/>
              <w:left w:type="dxa" w:w="140"/>
              <w:bottom w:type="dxa" w:w="100"/>
              <w:right w:type="dxa" w:w="140"/>
            </w:tcMar>
            <w:vAlign w:val="center"/>
          </w:tcPr>
          <w:p>
            <w:pPr>
              <w:jc w:val="left"/>
            </w:pPr>
            <w:r>
              <w:rPr>
                <w:b w:val="false"/>
                <w:bCs w:val="false"/>
                <w:color w:val="222222"/>
                <w:sz w:val="19"/>
                <w:szCs w:val="19"/>
              </w:rPr>
              <w:t xml:space="preserve">Southbound</w:t>
            </w:r>
          </w:p>
        </w:tc>
        <w:tc>
          <w:tcPr>
            <w:tcW w:type="dxa" w:w="3100"/>
            <w:tcMar>
              <w:top w:type="dxa" w:w="100"/>
              <w:left w:type="dxa" w:w="140"/>
              <w:bottom w:type="dxa" w:w="100"/>
              <w:right w:type="dxa" w:w="140"/>
            </w:tcMar>
            <w:vAlign w:val="center"/>
          </w:tcPr>
          <w:p>
            <w:pPr>
              <w:jc w:val="left"/>
            </w:pPr>
            <w:r>
              <w:rPr>
                <w:b w:val="false"/>
                <w:bCs w:val="false"/>
                <w:color w:val="222222"/>
                <w:sz w:val="19"/>
                <w:szCs w:val="19"/>
              </w:rPr>
              <w:t xml:space="preserve">Gateway ↔ End Devices</w:t>
            </w:r>
          </w:p>
        </w:tc>
        <w:tc>
          <w:tcPr>
            <w:tcW w:type="dxa" w:w="4600"/>
            <w:tcMar>
              <w:top w:type="dxa" w:w="100"/>
              <w:left w:type="dxa" w:w="140"/>
              <w:bottom w:type="dxa" w:w="100"/>
              <w:right w:type="dxa" w:w="140"/>
            </w:tcMar>
            <w:vAlign w:val="center"/>
          </w:tcPr>
          <w:p>
            <w:pPr>
              <w:jc w:val="left"/>
            </w:pPr>
            <w:r>
              <w:rPr>
                <w:b w:val="false"/>
                <w:bCs w:val="false"/>
                <w:color w:val="222222"/>
                <w:sz w:val="19"/>
                <w:szCs w:val="19"/>
              </w:rPr>
              <w:t xml:space="preserve">Onboard Bluetooth 5.0 BLE host adapter (BLE, hci0)</w:t>
            </w:r>
          </w:p>
        </w:tc>
      </w:tr>
      <w:tr>
        <w:tc>
          <w:tcPr>
            <w:tcW w:type="dxa" w:w="1900"/>
            <w:tcMar>
              <w:top w:type="dxa" w:w="100"/>
              <w:left w:type="dxa" w:w="140"/>
              <w:bottom w:type="dxa" w:w="100"/>
              <w:right w:type="dxa" w:w="140"/>
            </w:tcMar>
            <w:vAlign w:val="center"/>
          </w:tcPr>
          <w:p>
            <w:pPr>
              <w:jc w:val="left"/>
            </w:pPr>
            <w:r>
              <w:rPr>
                <w:b w:val="false"/>
                <w:bCs w:val="false"/>
                <w:color w:val="222222"/>
                <w:sz w:val="19"/>
                <w:szCs w:val="19"/>
              </w:rPr>
              <w:t xml:space="preserve">Northbound</w:t>
            </w:r>
          </w:p>
        </w:tc>
        <w:tc>
          <w:tcPr>
            <w:tcW w:type="dxa" w:w="3100"/>
            <w:tcMar>
              <w:top w:type="dxa" w:w="100"/>
              <w:left w:type="dxa" w:w="140"/>
              <w:bottom w:type="dxa" w:w="100"/>
              <w:right w:type="dxa" w:w="140"/>
            </w:tcMar>
            <w:vAlign w:val="center"/>
          </w:tcPr>
          <w:p>
            <w:pPr>
              <w:jc w:val="left"/>
            </w:pPr>
            <w:r>
              <w:rPr>
                <w:b w:val="false"/>
                <w:bCs w:val="false"/>
                <w:color w:val="222222"/>
                <w:sz w:val="19"/>
                <w:szCs w:val="19"/>
              </w:rPr>
              <w:t xml:space="preserve">Gateway ↔ AWS IoT Core</w:t>
            </w:r>
          </w:p>
        </w:tc>
        <w:tc>
          <w:tcPr>
            <w:tcW w:type="dxa" w:w="4600"/>
            <w:tcMar>
              <w:top w:type="dxa" w:w="100"/>
              <w:left w:type="dxa" w:w="140"/>
              <w:bottom w:type="dxa" w:w="100"/>
              <w:right w:type="dxa" w:w="140"/>
            </w:tcMar>
            <w:vAlign w:val="center"/>
          </w:tcPr>
          <w:p>
            <w:pPr>
              <w:jc w:val="left"/>
            </w:pPr>
            <w:r>
              <w:rPr>
                <w:b w:val="false"/>
                <w:bCs w:val="false"/>
                <w:color w:val="222222"/>
                <w:sz w:val="19"/>
                <w:szCs w:val="19"/>
              </w:rPr>
              <w:t xml:space="preserve">Dual-band Wi-Fi (802.11ac) or Gigabit Ethernet WAN uplink</w:t>
            </w:r>
          </w:p>
        </w:tc>
      </w:tr>
    </w:tbl>
    <w:p>
      <w:pPr>
        <w:pStyle w:val="Heading1"/>
        <w:pBdr>
          <w:bottom w:val="single" w:color="C9D3E0" w:sz="6" w:space="6"/>
        </w:pBdr>
        <w:spacing w:after="200" w:before="420"/>
      </w:pPr>
      <w:r>
        <w:rPr>
          <w:b/>
          <w:bCs/>
          <w:color w:val="1E2761"/>
          <w:sz w:val="30"/>
          <w:szCs w:val="30"/>
        </w:rPr>
        <w:t xml:space="preserve">8. Northbound Communication — MQTT, Security, and AWS IoT Core</w:t>
      </w:r>
    </w:p>
    <w:p>
      <w:pPr>
        <w:spacing w:after="160" w:line="276"/>
        <w:jc w:val="left"/>
      </w:pPr>
      <w:r>
        <w:rPr>
          <w:color w:val="222222"/>
          <w:sz w:val="21"/>
          <w:szCs w:val="21"/>
        </w:rPr>
        <w:t xml:space="preserve">The Northbound interface is the wide-area backhaul (uplink) that moves data from the gateway to the cloud, typically over Wi-Fi, Ethernet, cellular, or fiber depending on deployment. AWS IoT Core acts as the “front door” of the cloud: every connection is standardized on mutual TLS (mTLS) over port 8883 to guarantee that both the device and the cloud service authenticate one another before any data is accepted.</w:t>
      </w:r>
    </w:p>
    <w:p>
      <w:pPr>
        <w:pStyle w:val="Heading2"/>
        <w:spacing w:after="140" w:before="300"/>
      </w:pPr>
      <w:r>
        <w:rPr>
          <w:b/>
          <w:bCs/>
          <w:color w:val="1E2761"/>
          <w:sz w:val="24"/>
          <w:szCs w:val="24"/>
        </w:rPr>
        <w:t xml:space="preserve">8.1 Protocol, Port, and Quality of Service</w:t>
      </w:r>
    </w:p>
    <w:tbl>
      <w:tblPr>
        <w:tblW w:type="dxa" w:w="8900"/>
        <w:tblBorders>
          <w:top w:val="single" w:color="C9D3E0" w:sz="4"/>
          <w:left w:val="single" w:color="C9D3E0" w:sz="4"/>
          <w:bottom w:val="single" w:color="C9D3E0" w:sz="4"/>
          <w:right w:val="single" w:color="C9D3E0" w:sz="4"/>
          <w:insideH w:val="single" w:color="C9D3E0" w:sz="4"/>
          <w:insideV w:val="single" w:color="C9D3E0" w:sz="4"/>
        </w:tblBorders>
      </w:tblPr>
      <w:tblGrid>
        <w:gridCol w:w="2800"/>
        <w:gridCol w:w="6100"/>
      </w:tblGrid>
      <w:tr>
        <w:trPr>
          <w:tblHeader/>
        </w:trPr>
        <w:tc>
          <w:tcPr>
            <w:tcW w:type="dxa" w:w="2800"/>
            <w:shd w:fill="1E2761" w:val="clear"/>
            <w:tcMar>
              <w:top w:type="dxa" w:w="100"/>
              <w:left w:type="dxa" w:w="140"/>
              <w:bottom w:type="dxa" w:w="100"/>
              <w:right w:type="dxa" w:w="140"/>
            </w:tcMar>
            <w:vAlign w:val="center"/>
          </w:tcPr>
          <w:p>
            <w:pPr>
              <w:jc w:val="left"/>
            </w:pPr>
            <w:r>
              <w:rPr>
                <w:b/>
                <w:bCs/>
                <w:color w:val="FFFFFF"/>
                <w:sz w:val="19"/>
                <w:szCs w:val="19"/>
              </w:rPr>
              <w:t xml:space="preserve">Parameter</w:t>
            </w:r>
          </w:p>
        </w:tc>
        <w:tc>
          <w:tcPr>
            <w:tcW w:type="dxa" w:w="6100"/>
            <w:shd w:fill="1E2761" w:val="clear"/>
            <w:tcMar>
              <w:top w:type="dxa" w:w="100"/>
              <w:left w:type="dxa" w:w="140"/>
              <w:bottom w:type="dxa" w:w="100"/>
              <w:right w:type="dxa" w:w="140"/>
            </w:tcMar>
            <w:vAlign w:val="center"/>
          </w:tcPr>
          <w:p>
            <w:pPr>
              <w:jc w:val="left"/>
            </w:pPr>
            <w:r>
              <w:rPr>
                <w:b/>
                <w:bCs/>
                <w:color w:val="FFFFFF"/>
                <w:sz w:val="19"/>
                <w:szCs w:val="19"/>
              </w:rPr>
              <w:t xml:space="preserve">Value</w:t>
            </w:r>
          </w:p>
        </w:tc>
      </w:tr>
      <w:tr>
        <w:tc>
          <w:tcPr>
            <w:tcW w:type="dxa" w:w="2800"/>
            <w:tcMar>
              <w:top w:type="dxa" w:w="100"/>
              <w:left w:type="dxa" w:w="140"/>
              <w:bottom w:type="dxa" w:w="100"/>
              <w:right w:type="dxa" w:w="140"/>
            </w:tcMar>
            <w:vAlign w:val="center"/>
          </w:tcPr>
          <w:p>
            <w:pPr>
              <w:jc w:val="left"/>
            </w:pPr>
            <w:r>
              <w:rPr>
                <w:b w:val="false"/>
                <w:bCs w:val="false"/>
                <w:color w:val="222222"/>
                <w:sz w:val="19"/>
                <w:szCs w:val="19"/>
              </w:rPr>
              <w:t xml:space="preserve">Protocol</w:t>
            </w:r>
          </w:p>
        </w:tc>
        <w:tc>
          <w:tcPr>
            <w:tcW w:type="dxa" w:w="6100"/>
            <w:tcMar>
              <w:top w:type="dxa" w:w="100"/>
              <w:left w:type="dxa" w:w="140"/>
              <w:bottom w:type="dxa" w:w="100"/>
              <w:right w:type="dxa" w:w="140"/>
            </w:tcMar>
            <w:vAlign w:val="center"/>
          </w:tcPr>
          <w:p>
            <w:pPr>
              <w:jc w:val="left"/>
            </w:pPr>
            <w:r>
              <w:rPr>
                <w:b w:val="false"/>
                <w:bCs w:val="false"/>
                <w:color w:val="222222"/>
                <w:sz w:val="19"/>
                <w:szCs w:val="19"/>
              </w:rPr>
              <w:t xml:space="preserve">MQTT v3.1.1 / v5.0 over TCP/IP</w:t>
            </w:r>
          </w:p>
        </w:tc>
      </w:tr>
      <w:tr>
        <w:tc>
          <w:tcPr>
            <w:tcW w:type="dxa" w:w="2800"/>
            <w:tcMar>
              <w:top w:type="dxa" w:w="100"/>
              <w:left w:type="dxa" w:w="140"/>
              <w:bottom w:type="dxa" w:w="100"/>
              <w:right w:type="dxa" w:w="140"/>
            </w:tcMar>
            <w:vAlign w:val="center"/>
          </w:tcPr>
          <w:p>
            <w:pPr>
              <w:jc w:val="left"/>
            </w:pPr>
            <w:r>
              <w:rPr>
                <w:b w:val="false"/>
                <w:bCs w:val="false"/>
                <w:color w:val="222222"/>
                <w:sz w:val="19"/>
                <w:szCs w:val="19"/>
              </w:rPr>
              <w:t xml:space="preserve">Port</w:t>
            </w:r>
          </w:p>
        </w:tc>
        <w:tc>
          <w:tcPr>
            <w:tcW w:type="dxa" w:w="6100"/>
            <w:tcMar>
              <w:top w:type="dxa" w:w="100"/>
              <w:left w:type="dxa" w:w="140"/>
              <w:bottom w:type="dxa" w:w="100"/>
              <w:right w:type="dxa" w:w="140"/>
            </w:tcMar>
            <w:vAlign w:val="center"/>
          </w:tcPr>
          <w:p>
            <w:pPr>
              <w:jc w:val="left"/>
            </w:pPr>
            <w:r>
              <w:rPr>
                <w:b w:val="false"/>
                <w:bCs w:val="false"/>
                <w:color w:val="222222"/>
                <w:sz w:val="19"/>
                <w:szCs w:val="19"/>
              </w:rPr>
              <w:t xml:space="preserve">8883 (MQTT secured over TLS)</w:t>
            </w:r>
          </w:p>
        </w:tc>
      </w:tr>
      <w:tr>
        <w:tc>
          <w:tcPr>
            <w:tcW w:type="dxa" w:w="2800"/>
            <w:tcMar>
              <w:top w:type="dxa" w:w="100"/>
              <w:left w:type="dxa" w:w="140"/>
              <w:bottom w:type="dxa" w:w="100"/>
              <w:right w:type="dxa" w:w="140"/>
            </w:tcMar>
            <w:vAlign w:val="center"/>
          </w:tcPr>
          <w:p>
            <w:pPr>
              <w:jc w:val="left"/>
            </w:pPr>
            <w:r>
              <w:rPr>
                <w:b w:val="false"/>
                <w:bCs w:val="false"/>
                <w:color w:val="222222"/>
                <w:sz w:val="19"/>
                <w:szCs w:val="19"/>
              </w:rPr>
              <w:t xml:space="preserve">QoS Policy</w:t>
            </w:r>
          </w:p>
        </w:tc>
        <w:tc>
          <w:tcPr>
            <w:tcW w:type="dxa" w:w="6100"/>
            <w:tcMar>
              <w:top w:type="dxa" w:w="100"/>
              <w:left w:type="dxa" w:w="140"/>
              <w:bottom w:type="dxa" w:w="100"/>
              <w:right w:type="dxa" w:w="140"/>
            </w:tcMar>
            <w:vAlign w:val="center"/>
          </w:tcPr>
          <w:p>
            <w:pPr>
              <w:jc w:val="left"/>
            </w:pPr>
            <w:r>
              <w:rPr>
                <w:b w:val="false"/>
                <w:bCs w:val="false"/>
                <w:color w:val="222222"/>
                <w:sz w:val="19"/>
                <w:szCs w:val="19"/>
              </w:rPr>
              <w:t xml:space="preserve">QoS 1 (At Least Once) — guaranteed delivery via TCP ACK</w:t>
            </w:r>
          </w:p>
        </w:tc>
      </w:tr>
    </w:tbl>
    <w:p>
      <w:pPr>
        <w:pStyle w:val="Heading2"/>
        <w:spacing w:after="140" w:before="300"/>
      </w:pPr>
      <w:r>
        <w:rPr>
          <w:b/>
          <w:bCs/>
          <w:color w:val="1E2761"/>
          <w:sz w:val="24"/>
          <w:szCs w:val="24"/>
        </w:rPr>
        <w:t xml:space="preserve">8.2 Security</w:t>
      </w:r>
    </w:p>
    <w:p>
      <w:pPr>
        <w:pStyle w:val="ListParagraph"/>
        <w:numPr>
          <w:ilvl w:val="0"/>
          <w:numId w:val="2"/>
        </w:numPr>
        <w:spacing w:after="90" w:line="268"/>
      </w:pPr>
      <w:r>
        <w:rPr>
          <w:color w:val="222222"/>
          <w:sz w:val="21"/>
          <w:szCs w:val="21"/>
        </w:rPr>
        <w:t xml:space="preserve">mTLS: bidirectional cryptographic authentication between the gateway and AWS IoT Core.</w:t>
      </w:r>
    </w:p>
    <w:p>
      <w:pPr>
        <w:pStyle w:val="ListParagraph"/>
        <w:numPr>
          <w:ilvl w:val="0"/>
          <w:numId w:val="2"/>
        </w:numPr>
        <w:spacing w:after="90" w:line="268"/>
      </w:pPr>
      <w:r>
        <w:rPr>
          <w:color w:val="222222"/>
          <w:sz w:val="21"/>
          <w:szCs w:val="21"/>
        </w:rPr>
        <w:t xml:space="preserve">Encryption: 2048-bit RSA keys, or ECC using curve SECP256R1.</w:t>
      </w:r>
    </w:p>
    <w:p>
      <w:pPr>
        <w:pStyle w:val="ListParagraph"/>
        <w:numPr>
          <w:ilvl w:val="0"/>
          <w:numId w:val="2"/>
        </w:numPr>
        <w:spacing w:after="90" w:line="268"/>
      </w:pPr>
      <w:r>
        <w:rPr>
          <w:color w:val="222222"/>
          <w:sz w:val="21"/>
          <w:szCs w:val="21"/>
        </w:rPr>
        <w:t xml:space="preserve">Certificates: a per-device Device Certificate, a Private Key, and the Amazon Root CA 1 trust anchor.</w:t>
      </w:r>
    </w:p>
    <w:p>
      <w:pPr>
        <w:pStyle w:val="Heading2"/>
        <w:spacing w:after="140" w:before="300"/>
      </w:pPr>
      <w:r>
        <w:rPr>
          <w:b/>
          <w:bCs/>
          <w:color w:val="1E2761"/>
          <w:sz w:val="24"/>
          <w:szCs w:val="24"/>
        </w:rPr>
        <w:t xml:space="preserve">8.3 Edge Runtime</w:t>
      </w:r>
    </w:p>
    <w:p>
      <w:pPr>
        <w:spacing w:after="160" w:line="276"/>
        <w:jc w:val="left"/>
      </w:pPr>
      <w:r>
        <w:rPr>
          <w:color w:val="222222"/>
          <w:sz w:val="21"/>
          <w:szCs w:val="21"/>
        </w:rPr>
        <w:t xml:space="preserve">Where local rules execution, store-and-forward caching during network loss, or on-device ML inference is required, the gateway can additionally run AWS IoT Greengrass v2 on a Java OpenJDK 11 environment, extending cloud-managed logic down to the edge.</w:t>
      </w:r>
    </w:p>
    <w:p>
      <w:pPr>
        <w:pStyle w:val="Heading2"/>
        <w:spacing w:after="140" w:before="300"/>
      </w:pPr>
      <w:r>
        <w:rPr>
          <w:b/>
          <w:bCs/>
          <w:color w:val="1E2761"/>
          <w:sz w:val="24"/>
          <w:szCs w:val="24"/>
        </w:rPr>
        <w:t xml:space="preserve">8.4 AWS IoT Core Functional Modules</w:t>
      </w:r>
    </w:p>
    <w:tbl>
      <w:tblPr>
        <w:tblW w:type="dxa" w:w="8900"/>
        <w:tblBorders>
          <w:top w:val="single" w:color="C9D3E0" w:sz="4"/>
          <w:left w:val="single" w:color="C9D3E0" w:sz="4"/>
          <w:bottom w:val="single" w:color="C9D3E0" w:sz="4"/>
          <w:right w:val="single" w:color="C9D3E0" w:sz="4"/>
          <w:insideH w:val="single" w:color="C9D3E0" w:sz="4"/>
          <w:insideV w:val="single" w:color="C9D3E0" w:sz="4"/>
        </w:tblBorders>
      </w:tblPr>
      <w:tblGrid>
        <w:gridCol w:w="2200"/>
        <w:gridCol w:w="6700"/>
      </w:tblGrid>
      <w:tr>
        <w:trPr>
          <w:tblHeader/>
        </w:trPr>
        <w:tc>
          <w:tcPr>
            <w:tcW w:type="dxa" w:w="2200"/>
            <w:shd w:fill="1E2761" w:val="clear"/>
            <w:tcMar>
              <w:top w:type="dxa" w:w="100"/>
              <w:left w:type="dxa" w:w="140"/>
              <w:bottom w:type="dxa" w:w="100"/>
              <w:right w:type="dxa" w:w="140"/>
            </w:tcMar>
            <w:vAlign w:val="center"/>
          </w:tcPr>
          <w:p>
            <w:pPr>
              <w:jc w:val="left"/>
            </w:pPr>
            <w:r>
              <w:rPr>
                <w:b/>
                <w:bCs/>
                <w:color w:val="FFFFFF"/>
                <w:sz w:val="19"/>
                <w:szCs w:val="19"/>
              </w:rPr>
              <w:t xml:space="preserve">Module</w:t>
            </w:r>
          </w:p>
        </w:tc>
        <w:tc>
          <w:tcPr>
            <w:tcW w:type="dxa" w:w="6700"/>
            <w:shd w:fill="1E2761" w:val="clear"/>
            <w:tcMar>
              <w:top w:type="dxa" w:w="100"/>
              <w:left w:type="dxa" w:w="140"/>
              <w:bottom w:type="dxa" w:w="100"/>
              <w:right w:type="dxa" w:w="140"/>
            </w:tcMar>
            <w:vAlign w:val="center"/>
          </w:tcPr>
          <w:p>
            <w:pPr>
              <w:jc w:val="left"/>
            </w:pPr>
            <w:r>
              <w:rPr>
                <w:b/>
                <w:bCs/>
                <w:color w:val="FFFFFF"/>
                <w:sz w:val="19"/>
                <w:szCs w:val="19"/>
              </w:rPr>
              <w:t xml:space="preserve">Function</w:t>
            </w:r>
          </w:p>
        </w:tc>
      </w:tr>
      <w:tr>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Message Broker</w:t>
            </w:r>
          </w:p>
        </w:tc>
        <w:tc>
          <w:tcPr>
            <w:tcW w:type="dxa" w:w="6700"/>
            <w:tcMar>
              <w:top w:type="dxa" w:w="100"/>
              <w:left w:type="dxa" w:w="140"/>
              <w:bottom w:type="dxa" w:w="100"/>
              <w:right w:type="dxa" w:w="140"/>
            </w:tcMar>
            <w:vAlign w:val="center"/>
          </w:tcPr>
          <w:p>
            <w:pPr>
              <w:jc w:val="left"/>
            </w:pPr>
            <w:r>
              <w:rPr>
                <w:b w:val="false"/>
                <w:bCs w:val="false"/>
                <w:color w:val="222222"/>
                <w:sz w:val="19"/>
                <w:szCs w:val="19"/>
              </w:rPr>
              <w:t xml:space="preserve">Lightweight publish/subscribe messaging using MQTT 3.1.1/5 over TCP/IP.</w:t>
            </w:r>
          </w:p>
        </w:tc>
      </w:tr>
      <w:tr>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Device Registry</w:t>
            </w:r>
          </w:p>
        </w:tc>
        <w:tc>
          <w:tcPr>
            <w:tcW w:type="dxa" w:w="6700"/>
            <w:tcMar>
              <w:top w:type="dxa" w:w="100"/>
              <w:left w:type="dxa" w:w="140"/>
              <w:bottom w:type="dxa" w:w="100"/>
              <w:right w:type="dxa" w:w="140"/>
            </w:tcMar>
            <w:vAlign w:val="center"/>
          </w:tcPr>
          <w:p>
            <w:pPr>
              <w:jc w:val="left"/>
            </w:pPr>
            <w:r>
              <w:rPr>
                <w:b w:val="false"/>
                <w:bCs w:val="false"/>
                <w:color w:val="222222"/>
                <w:sz w:val="19"/>
                <w:szCs w:val="19"/>
              </w:rPr>
              <w:t xml:space="preserve">Manages authorized, unique device identities, authenticated via X.509 certificates.</w:t>
            </w:r>
          </w:p>
        </w:tc>
      </w:tr>
      <w:tr>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Rules Engine</w:t>
            </w:r>
          </w:p>
        </w:tc>
        <w:tc>
          <w:tcPr>
            <w:tcW w:type="dxa" w:w="6700"/>
            <w:tcMar>
              <w:top w:type="dxa" w:w="100"/>
              <w:left w:type="dxa" w:w="140"/>
              <w:bottom w:type="dxa" w:w="100"/>
              <w:right w:type="dxa" w:w="140"/>
            </w:tcMar>
            <w:vAlign w:val="center"/>
          </w:tcPr>
          <w:p>
            <w:pPr>
              <w:jc w:val="left"/>
            </w:pPr>
            <w:r>
              <w:rPr>
                <w:b w:val="false"/>
                <w:bCs w:val="false"/>
                <w:color w:val="222222"/>
                <w:sz w:val="19"/>
                <w:szCs w:val="19"/>
              </w:rPr>
              <w:t xml:space="preserve">SQL-like logic layer that routes incoming messages to trigger notifications or storage based on defined conditions.</w:t>
            </w:r>
          </w:p>
        </w:tc>
      </w:tr>
      <w:tr>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Device Shadow</w:t>
            </w:r>
          </w:p>
        </w:tc>
        <w:tc>
          <w:tcPr>
            <w:tcW w:type="dxa" w:w="6700"/>
            <w:tcMar>
              <w:top w:type="dxa" w:w="100"/>
              <w:left w:type="dxa" w:w="140"/>
              <w:bottom w:type="dxa" w:w="100"/>
              <w:right w:type="dxa" w:w="140"/>
            </w:tcMar>
            <w:vAlign w:val="center"/>
          </w:tcPr>
          <w:p>
            <w:pPr>
              <w:jc w:val="left"/>
            </w:pPr>
            <w:r>
              <w:rPr>
                <w:b w:val="false"/>
                <w:bCs w:val="false"/>
                <w:color w:val="222222"/>
                <w:sz w:val="19"/>
                <w:szCs w:val="19"/>
              </w:rPr>
              <w:t xml:space="preserve">A persistent JSON “digital twin” of each device's last-known state, enabling offline-tolerant state management.</w:t>
            </w:r>
          </w:p>
        </w:tc>
      </w:tr>
    </w:tbl>
    <w:p>
      <w:pPr>
        <w:spacing w:after="80" w:before="120"/>
        <w:jc w:val="center"/>
      </w:pPr>
      <w:r>
        <w:drawing>
          <wp:inline distT="0" distB="0" distL="0" distR="0">
            <wp:extent cx="4381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076450"/>
                    </a:xfrm>
                    <a:prstGeom prst="rect">
                      <a:avLst/>
                    </a:prstGeom>
                  </pic:spPr>
                </pic:pic>
              </a:graphicData>
            </a:graphic>
          </wp:inline>
        </w:drawing>
      </w:r>
    </w:p>
    <w:p>
      <w:pPr>
        <w:spacing w:after="220"/>
        <w:jc w:val="center"/>
      </w:pPr>
      <w:r>
        <w:rPr>
          <w:i/>
          <w:iCs/>
          <w:color w:val="5A6472"/>
          <w:sz w:val="18"/>
          <w:szCs w:val="18"/>
        </w:rPr>
        <w:t xml:space="preserve">Figure 6. Reference AWS IoT pattern showing how device telemetry flows into the IoT Gateway, is mirrored into Device Shadows, evaluated by an IoT Rule, and routed through Lambda to DynamoDB and, for alert conditions, to a push notification. (Generalized AWS IoT example — the mechanism shown applies directly to the project's telemetry and alerting pipeline in Section 11.)</w:t>
      </w:r>
    </w:p>
    <w:p>
      <w:pPr>
        <w:spacing w:after="80" w:before="120"/>
        <w:jc w:val="center"/>
      </w:pPr>
      <w:r>
        <w:drawing>
          <wp:inline distT="0" distB="0" distL="0" distR="0">
            <wp:extent cx="3048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1714500"/>
                    </a:xfrm>
                    <a:prstGeom prst="rect">
                      <a:avLst/>
                    </a:prstGeom>
                  </pic:spPr>
                </pic:pic>
              </a:graphicData>
            </a:graphic>
          </wp:inline>
        </w:drawing>
      </w:r>
    </w:p>
    <w:p>
      <w:pPr>
        <w:spacing w:after="220"/>
        <w:jc w:val="center"/>
      </w:pPr>
      <w:r>
        <w:rPr>
          <w:i/>
          <w:iCs/>
          <w:color w:val="5A6472"/>
          <w:sz w:val="18"/>
          <w:szCs w:val="18"/>
        </w:rPr>
        <w:t xml:space="preserve">Figure 7. Anatomy of an AWS IoT Rule: a SQL SELECT statement extracts fields from the incoming MQTT message, a topic filter scopes which messages the rule applies to, and a rule action (e.g., DynamoDB, Lambda, SNS, S3) determines what happens next.</w:t>
      </w:r>
    </w:p>
    <w:p>
      <w:pPr>
        <w:pStyle w:val="Heading1"/>
        <w:pBdr>
          <w:bottom w:val="single" w:color="C9D3E0" w:sz="6" w:space="6"/>
        </w:pBdr>
        <w:spacing w:after="200" w:before="420"/>
      </w:pPr>
      <w:r>
        <w:rPr>
          <w:b/>
          <w:bCs/>
          <w:color w:val="1E2761"/>
          <w:sz w:val="30"/>
          <w:szCs w:val="30"/>
        </w:rPr>
        <w:t xml:space="preserve">9. Gateway Provisioning Procedure (AWS IoT)</w:t>
      </w:r>
    </w:p>
    <w:p>
      <w:pPr>
        <w:spacing w:after="160" w:line="276"/>
        <w:jc w:val="left"/>
      </w:pPr>
      <w:r>
        <w:rPr>
          <w:color w:val="222222"/>
          <w:sz w:val="21"/>
          <w:szCs w:val="21"/>
        </w:rPr>
        <w:t xml:space="preserve">Before the gateway can publish telemetry, it must be registered with AWS IoT Core as a uniquely identifiable “Thing” and issued credentials scoped to only the actions it needs to perform. The provisioning sequence used in this project is as follows:</w:t>
      </w:r>
    </w:p>
    <w:p>
      <w:pPr>
        <w:pStyle w:val="ListParagraph"/>
        <w:numPr>
          <w:ilvl w:val="0"/>
          <w:numId w:val="3"/>
        </w:numPr>
        <w:spacing w:after="90" w:line="268"/>
      </w:pPr>
      <w:r>
        <w:rPr>
          <w:color w:val="222222"/>
          <w:sz w:val="21"/>
          <w:szCs w:val="21"/>
        </w:rPr>
        <w:t xml:space="preserve">Provision the AWS IoT Thing — in the AWS IoT Core Console, navigate to All devices → Things → Create Thing, and name it (e.g., Gateway_Pi4_Demo).</w:t>
      </w:r>
    </w:p>
    <w:p>
      <w:pPr>
        <w:pStyle w:val="ListParagraph"/>
        <w:numPr>
          <w:ilvl w:val="0"/>
          <w:numId w:val="3"/>
        </w:numPr>
        <w:spacing w:after="90" w:line="268"/>
      </w:pPr>
      <w:r>
        <w:rPr>
          <w:color w:val="222222"/>
          <w:sz w:val="21"/>
          <w:szCs w:val="21"/>
        </w:rPr>
        <w:t xml:space="preserve">Generate certificates — create and download the Device Certificate (Gateway_Pi4.cert.pem), the Private Key (Gateway_Pi4.private.key), and the Amazon Root CA 1 (AmazonRootCA1.pem).</w:t>
      </w:r>
    </w:p>
    <w:p>
      <w:pPr>
        <w:pStyle w:val="ListParagraph"/>
        <w:numPr>
          <w:ilvl w:val="0"/>
          <w:numId w:val="3"/>
        </w:numPr>
        <w:spacing w:after="90" w:line="268"/>
      </w:pPr>
      <w:r>
        <w:rPr>
          <w:color w:val="222222"/>
          <w:sz w:val="21"/>
          <w:szCs w:val="21"/>
        </w:rPr>
        <w:t xml:space="preserve">Bind a security policy — attach an IAM/IoT policy that restricts the Thing's publish and subscribe actions to the project's designated MQTT topic namespace only.</w:t>
      </w:r>
    </w:p>
    <w:p>
      <w:pPr>
        <w:pStyle w:val="Heading2"/>
        <w:spacing w:after="140" w:before="300"/>
      </w:pPr>
      <w:r>
        <w:rPr>
          <w:b/>
          <w:bCs/>
          <w:color w:val="1E2761"/>
          <w:sz w:val="24"/>
          <w:szCs w:val="24"/>
        </w:rPr>
        <w:t xml:space="preserve">9.1 Provisioned Credential Files</w:t>
      </w:r>
    </w:p>
    <w:p>
      <w:pPr>
        <w:pStyle w:val="ListParagraph"/>
        <w:numPr>
          <w:ilvl w:val="0"/>
          <w:numId w:val="2"/>
        </w:numPr>
        <w:spacing w:after="90" w:line="268"/>
      </w:pPr>
      <w:r>
        <w:rPr>
          <w:color w:val="222222"/>
          <w:sz w:val="21"/>
          <w:szCs w:val="21"/>
        </w:rPr>
        <w:t xml:space="preserve">Device Certificate — xxx.cert.pem</w:t>
      </w:r>
    </w:p>
    <w:p>
      <w:pPr>
        <w:pStyle w:val="ListParagraph"/>
        <w:numPr>
          <w:ilvl w:val="0"/>
          <w:numId w:val="2"/>
        </w:numPr>
        <w:spacing w:after="90" w:line="268"/>
      </w:pPr>
      <w:r>
        <w:rPr>
          <w:color w:val="222222"/>
          <w:sz w:val="21"/>
          <w:szCs w:val="21"/>
        </w:rPr>
        <w:t xml:space="preserve">Private Key — xxx.private.pem.key</w:t>
      </w:r>
    </w:p>
    <w:p>
      <w:pPr>
        <w:pStyle w:val="ListParagraph"/>
        <w:numPr>
          <w:ilvl w:val="0"/>
          <w:numId w:val="2"/>
        </w:numPr>
        <w:spacing w:after="90" w:line="268"/>
      </w:pPr>
      <w:r>
        <w:rPr>
          <w:color w:val="222222"/>
          <w:sz w:val="21"/>
          <w:szCs w:val="21"/>
        </w:rPr>
        <w:t xml:space="preserve">Amazon Root CA 1 — AmazonRootCA1.pem</w:t>
      </w:r>
    </w:p>
    <w:p>
      <w:pPr>
        <w:pStyle w:val="Heading2"/>
        <w:spacing w:after="140" w:before="300"/>
      </w:pPr>
      <w:r>
        <w:rPr>
          <w:b/>
          <w:bCs/>
          <w:color w:val="1E2761"/>
          <w:sz w:val="24"/>
          <w:szCs w:val="24"/>
        </w:rPr>
        <w:t xml:space="preserve">9.2 Least-Privilege IoT Policy</w:t>
      </w:r>
    </w:p>
    <w:p>
      <w:pPr>
        <w:spacing w:after="160" w:line="276"/>
        <w:jc w:val="left"/>
      </w:pPr>
      <w:r>
        <w:rPr>
          <w:color w:val="222222"/>
          <w:sz w:val="21"/>
          <w:szCs w:val="21"/>
        </w:rPr>
        <w:t xml:space="preserve">The policy below is scoped to the tech300/* topic namespace and to the connecting Thing's own client identity, following the principle of least privilege — the gateway can connect, publish, and subscribe, but only within the project's topic space.</w:t>
      </w:r>
    </w:p>
    <w:tbl>
      <w:tblPr>
        <w:tblW w:type="pct" w:w="100%"/>
        <w:tblBorders>
          <w:top w:val="single" w:color="3A3F4B" w:sz="4"/>
          <w:left w:val="single" w:color="3A3F4B" w:sz="4"/>
          <w:bottom w:val="single" w:color="3A3F4B" w:sz="4"/>
          <w:right w:val="single" w:color="3A3F4B" w:sz="4"/>
          <w:insideH w:val="none" w:color="FFFFFF" w:sz="0"/>
          <w:insideV w:val="none" w:color="FFFFFF" w:sz="0"/>
        </w:tblBorders>
      </w:tblPr>
      <w:tblGrid>
        <w:gridCol w:w="100"/>
      </w:tblGrid>
      <w:tr>
        <w:tc>
          <w:tcPr>
            <w:shd w:fill="1E1F26" w:val="clear"/>
            <w:tcMar>
              <w:top w:type="dxa" w:w="160"/>
              <w:left w:type="dxa" w:w="220"/>
              <w:bottom w:type="dxa" w:w="160"/>
              <w:right w:type="dxa" w:w="220"/>
            </w:tcMar>
          </w:tcPr>
          <w:p>
            <w:pPr>
              <w:spacing w:after="20"/>
            </w:pPr>
            <w:r>
              <w:rPr>
                <w:rFonts w:ascii="Courier New" w:cs="Courier New" w:eastAsia="Courier New" w:hAnsi="Courier New"/>
                <w:color w:val="E7E9EE"/>
                <w:sz w:val="18"/>
                <w:szCs w:val="18"/>
              </w:rPr>
              <w:t xml:space="preserve">{</w:t>
            </w:r>
          </w:p>
          <w:p>
            <w:pPr>
              <w:spacing w:after="20"/>
            </w:pPr>
            <w:r>
              <w:rPr>
                <w:rFonts w:ascii="Courier New" w:cs="Courier New" w:eastAsia="Courier New" w:hAnsi="Courier New"/>
                <w:color w:val="E7E9EE"/>
                <w:sz w:val="18"/>
                <w:szCs w:val="18"/>
              </w:rPr>
              <w:t xml:space="preserve">  "Version": "2012-10-17",</w:t>
            </w:r>
          </w:p>
          <w:p>
            <w:pPr>
              <w:spacing w:after="20"/>
            </w:pPr>
            <w:r>
              <w:rPr>
                <w:rFonts w:ascii="Courier New" w:cs="Courier New" w:eastAsia="Courier New" w:hAnsi="Courier New"/>
                <w:color w:val="E7E9EE"/>
                <w:sz w:val="18"/>
                <w:szCs w:val="18"/>
              </w:rPr>
              <w:t xml:space="preserve">  "Statement": [</w:t>
            </w:r>
          </w:p>
          <w:p>
            <w:pPr>
              <w:spacing w:after="20"/>
            </w:pPr>
            <w:r>
              <w:rPr>
                <w:rFonts w:ascii="Courier New" w:cs="Courier New" w:eastAsia="Courier New" w:hAnsi="Courier New"/>
                <w:color w:val="E7E9EE"/>
                <w:sz w:val="18"/>
                <w:szCs w:val="18"/>
              </w:rPr>
              <w:t xml:space="preserve">    {</w:t>
            </w:r>
          </w:p>
          <w:p>
            <w:pPr>
              <w:spacing w:after="20"/>
            </w:pPr>
            <w:r>
              <w:rPr>
                <w:rFonts w:ascii="Courier New" w:cs="Courier New" w:eastAsia="Courier New" w:hAnsi="Courier New"/>
                <w:color w:val="E7E9EE"/>
                <w:sz w:val="18"/>
                <w:szCs w:val="18"/>
              </w:rPr>
              <w:t xml:space="preserve">      "Effect": "Allow",</w:t>
            </w:r>
          </w:p>
          <w:p>
            <w:pPr>
              <w:spacing w:after="20"/>
            </w:pPr>
            <w:r>
              <w:rPr>
                <w:rFonts w:ascii="Courier New" w:cs="Courier New" w:eastAsia="Courier New" w:hAnsi="Courier New"/>
                <w:color w:val="E7E9EE"/>
                <w:sz w:val="18"/>
                <w:szCs w:val="18"/>
              </w:rPr>
              <w:t xml:space="preserve">      "Action": "iot:Connect",</w:t>
            </w:r>
          </w:p>
          <w:p>
            <w:pPr>
              <w:spacing w:after="20"/>
            </w:pPr>
            <w:r>
              <w:rPr>
                <w:rFonts w:ascii="Courier New" w:cs="Courier New" w:eastAsia="Courier New" w:hAnsi="Courier New"/>
                <w:color w:val="E7E9EE"/>
                <w:sz w:val="18"/>
                <w:szCs w:val="18"/>
              </w:rPr>
              <w:t xml:space="preserve">      "Resource": "arn:aws:iot:*:*:client/${iot:Connection.Thing.ThingName}"</w:t>
            </w:r>
          </w:p>
          <w:p>
            <w:pPr>
              <w:spacing w:after="20"/>
            </w:pPr>
            <w:r>
              <w:rPr>
                <w:rFonts w:ascii="Courier New" w:cs="Courier New" w:eastAsia="Courier New" w:hAnsi="Courier New"/>
                <w:color w:val="E7E9EE"/>
                <w:sz w:val="18"/>
                <w:szCs w:val="18"/>
              </w:rPr>
              <w:t xml:space="preserve">    },</w:t>
            </w:r>
          </w:p>
          <w:p>
            <w:pPr>
              <w:spacing w:after="20"/>
            </w:pPr>
            <w:r>
              <w:rPr>
                <w:rFonts w:ascii="Courier New" w:cs="Courier New" w:eastAsia="Courier New" w:hAnsi="Courier New"/>
                <w:color w:val="E7E9EE"/>
                <w:sz w:val="18"/>
                <w:szCs w:val="18"/>
              </w:rPr>
              <w:t xml:space="preserve">    {</w:t>
            </w:r>
          </w:p>
          <w:p>
            <w:pPr>
              <w:spacing w:after="20"/>
            </w:pPr>
            <w:r>
              <w:rPr>
                <w:rFonts w:ascii="Courier New" w:cs="Courier New" w:eastAsia="Courier New" w:hAnsi="Courier New"/>
                <w:color w:val="E7E9EE"/>
                <w:sz w:val="18"/>
                <w:szCs w:val="18"/>
              </w:rPr>
              <w:t xml:space="preserve">      "Effect": "Allow",</w:t>
            </w:r>
          </w:p>
          <w:p>
            <w:pPr>
              <w:spacing w:after="20"/>
            </w:pPr>
            <w:r>
              <w:rPr>
                <w:rFonts w:ascii="Courier New" w:cs="Courier New" w:eastAsia="Courier New" w:hAnsi="Courier New"/>
                <w:color w:val="E7E9EE"/>
                <w:sz w:val="18"/>
                <w:szCs w:val="18"/>
              </w:rPr>
              <w:t xml:space="preserve">      "Action": ["iot:Publish", "iot:Subscribe"],</w:t>
            </w:r>
          </w:p>
          <w:p>
            <w:pPr>
              <w:spacing w:after="20"/>
            </w:pPr>
            <w:r>
              <w:rPr>
                <w:rFonts w:ascii="Courier New" w:cs="Courier New" w:eastAsia="Courier New" w:hAnsi="Courier New"/>
                <w:color w:val="E7E9EE"/>
                <w:sz w:val="18"/>
                <w:szCs w:val="18"/>
              </w:rPr>
              <w:t xml:space="preserve">      "Resource": "arn:aws:iot:*:*:topic/tech300/*"</w:t>
            </w:r>
          </w:p>
          <w:p>
            <w:pPr>
              <w:spacing w:after="20"/>
            </w:pPr>
            <w:r>
              <w:rPr>
                <w:rFonts w:ascii="Courier New" w:cs="Courier New" w:eastAsia="Courier New" w:hAnsi="Courier New"/>
                <w:color w:val="E7E9EE"/>
                <w:sz w:val="18"/>
                <w:szCs w:val="18"/>
              </w:rPr>
              <w:t xml:space="preserve">    }</w:t>
            </w:r>
          </w:p>
          <w:p>
            <w:pPr>
              <w:spacing w:after="20"/>
            </w:pPr>
            <w:r>
              <w:rPr>
                <w:rFonts w:ascii="Courier New" w:cs="Courier New" w:eastAsia="Courier New" w:hAnsi="Courier New"/>
                <w:color w:val="E7E9EE"/>
                <w:sz w:val="18"/>
                <w:szCs w:val="18"/>
              </w:rPr>
              <w:t xml:space="preserve">  ]</w:t>
            </w:r>
          </w:p>
          <w:p>
            <w:pPr>
              <w:spacing w:after="20"/>
            </w:pPr>
            <w:r>
              <w:rPr>
                <w:rFonts w:ascii="Courier New" w:cs="Courier New" w:eastAsia="Courier New" w:hAnsi="Courier New"/>
                <w:color w:val="E7E9EE"/>
                <w:sz w:val="18"/>
                <w:szCs w:val="18"/>
              </w:rPr>
              <w:t xml:space="preserve">}</w:t>
            </w:r>
          </w:p>
        </w:tc>
      </w:tr>
    </w:tbl>
    <w:p>
      <w:pPr>
        <w:pStyle w:val="Heading1"/>
        <w:pBdr>
          <w:bottom w:val="single" w:color="C9D3E0" w:sz="6" w:space="6"/>
        </w:pBdr>
        <w:spacing w:after="200" w:before="420"/>
      </w:pPr>
      <w:r>
        <w:rPr>
          <w:b/>
          <w:bCs/>
          <w:color w:val="1E2761"/>
          <w:sz w:val="30"/>
          <w:szCs w:val="30"/>
        </w:rPr>
        <w:t xml:space="preserve">10. Gateway Application Software</w:t>
      </w:r>
    </w:p>
    <w:p>
      <w:pPr>
        <w:spacing w:after="160" w:line="276"/>
        <w:jc w:val="left"/>
      </w:pPr>
      <w:r>
        <w:rPr>
          <w:color w:val="222222"/>
          <w:sz w:val="21"/>
          <w:szCs w:val="21"/>
        </w:rPr>
        <w:t xml:space="preserve">On the Raspberry Pi, a Python process establishes a mutually authenticated MQTT connection to AWS IoT Core using the certificates issued in Section 9, then publishes each sensor reading as a JSON payload. The excerpt below illustrates the connection setup and a single telemetry publish call using the AWS IoT Device SDK for Python v2.</w:t>
      </w:r>
    </w:p>
    <w:tbl>
      <w:tblPr>
        <w:tblW w:type="pct" w:w="100%"/>
        <w:tblBorders>
          <w:top w:val="single" w:color="3A3F4B" w:sz="4"/>
          <w:left w:val="single" w:color="3A3F4B" w:sz="4"/>
          <w:bottom w:val="single" w:color="3A3F4B" w:sz="4"/>
          <w:right w:val="single" w:color="3A3F4B" w:sz="4"/>
          <w:insideH w:val="none" w:color="FFFFFF" w:sz="0"/>
          <w:insideV w:val="none" w:color="FFFFFF" w:sz="0"/>
        </w:tblBorders>
      </w:tblPr>
      <w:tblGrid>
        <w:gridCol w:w="100"/>
      </w:tblGrid>
      <w:tr>
        <w:tc>
          <w:tcPr>
            <w:shd w:fill="1E1F26" w:val="clear"/>
            <w:tcMar>
              <w:top w:type="dxa" w:w="160"/>
              <w:left w:type="dxa" w:w="220"/>
              <w:bottom w:type="dxa" w:w="160"/>
              <w:right w:type="dxa" w:w="220"/>
            </w:tcMar>
          </w:tcPr>
          <w:p>
            <w:pPr>
              <w:spacing w:after="20"/>
            </w:pPr>
            <w:r>
              <w:rPr>
                <w:rFonts w:ascii="Courier New" w:cs="Courier New" w:eastAsia="Courier New" w:hAnsi="Courier New"/>
                <w:color w:val="E7E9EE"/>
                <w:sz w:val="18"/>
                <w:szCs w:val="18"/>
              </w:rPr>
              <w:t xml:space="preserve">import asyncio, json</w:t>
            </w:r>
          </w:p>
          <w:p>
            <w:pPr>
              <w:spacing w:after="20"/>
            </w:pPr>
            <w:r>
              <w:rPr>
                <w:rFonts w:ascii="Courier New" w:cs="Courier New" w:eastAsia="Courier New" w:hAnsi="Courier New"/>
                <w:color w:val="E7E9EE"/>
                <w:sz w:val="18"/>
                <w:szCs w:val="18"/>
              </w:rPr>
              <w:t xml:space="preserve">from awscrt import io, mqtt</w:t>
            </w:r>
          </w:p>
          <w:p>
            <w:pPr>
              <w:spacing w:after="20"/>
            </w:pPr>
            <w:r>
              <w:rPr>
                <w:rFonts w:ascii="Courier New" w:cs="Courier New" w:eastAsia="Courier New" w:hAnsi="Courier New"/>
                <w:color w:val="E7E9EE"/>
                <w:sz w:val="18"/>
                <w:szCs w:val="18"/>
              </w:rPr>
              <w:t xml:space="preserve">from awsiot import mqtt_connection_builder</w:t>
            </w:r>
          </w:p>
          <w:p>
            <w:pPr>
              <w:spacing w:after="20"/>
            </w:pPr>
            <w:r>
              <w:rPr>
                <w:rFonts w:ascii="Courier New" w:cs="Courier New" w:eastAsia="Courier New" w:hAnsi="Courier New"/>
                <w:color w:val="E7E9EE"/>
                <w:sz w:val="18"/>
                <w:szCs w:val="18"/>
              </w:rPr>
              <w:t xml:space="preserve"> </w:t>
            </w:r>
          </w:p>
          <w:p>
            <w:pPr>
              <w:spacing w:after="20"/>
            </w:pPr>
            <w:r>
              <w:rPr>
                <w:rFonts w:ascii="Courier New" w:cs="Courier New" w:eastAsia="Courier New" w:hAnsi="Courier New"/>
                <w:color w:val="E7E9EE"/>
                <w:sz w:val="18"/>
                <w:szCs w:val="18"/>
              </w:rPr>
              <w:t xml:space="preserve"># Configure mTLS Connection to AWS IoT Core</w:t>
            </w:r>
          </w:p>
          <w:p>
            <w:pPr>
              <w:spacing w:after="20"/>
            </w:pPr>
            <w:r>
              <w:rPr>
                <w:rFonts w:ascii="Courier New" w:cs="Courier New" w:eastAsia="Courier New" w:hAnsi="Courier New"/>
                <w:color w:val="E7E9EE"/>
                <w:sz w:val="18"/>
                <w:szCs w:val="18"/>
              </w:rPr>
              <w:t xml:space="preserve">mqtt_conn = mqtt_connection_builder.mtls_from_path(</w:t>
            </w:r>
          </w:p>
          <w:p>
            <w:pPr>
              <w:spacing w:after="20"/>
            </w:pPr>
            <w:r>
              <w:rPr>
                <w:rFonts w:ascii="Courier New" w:cs="Courier New" w:eastAsia="Courier New" w:hAnsi="Courier New"/>
                <w:color w:val="E7E9EE"/>
                <w:sz w:val="18"/>
                <w:szCs w:val="18"/>
              </w:rPr>
              <w:t xml:space="preserve">    endpoint="a1xxxxxxxxxxx-ats.iot.us-east-1.amazonaws.com",</w:t>
            </w:r>
          </w:p>
          <w:p>
            <w:pPr>
              <w:spacing w:after="20"/>
            </w:pPr>
            <w:r>
              <w:rPr>
                <w:rFonts w:ascii="Courier New" w:cs="Courier New" w:eastAsia="Courier New" w:hAnsi="Courier New"/>
                <w:color w:val="E7E9EE"/>
                <w:sz w:val="18"/>
                <w:szCs w:val="18"/>
              </w:rPr>
              <w:t xml:space="preserve">    cert_filepath="Gateway_Pi4.cert.pem",</w:t>
            </w:r>
          </w:p>
          <w:p>
            <w:pPr>
              <w:spacing w:after="20"/>
            </w:pPr>
            <w:r>
              <w:rPr>
                <w:rFonts w:ascii="Courier New" w:cs="Courier New" w:eastAsia="Courier New" w:hAnsi="Courier New"/>
                <w:color w:val="E7E9EE"/>
                <w:sz w:val="18"/>
                <w:szCs w:val="18"/>
              </w:rPr>
              <w:t xml:space="preserve">    pri_key_filepath="Gateway_Pi4.private.key",</w:t>
            </w:r>
          </w:p>
          <w:p>
            <w:pPr>
              <w:spacing w:after="20"/>
            </w:pPr>
            <w:r>
              <w:rPr>
                <w:rFonts w:ascii="Courier New" w:cs="Courier New" w:eastAsia="Courier New" w:hAnsi="Courier New"/>
                <w:color w:val="E7E9EE"/>
                <w:sz w:val="18"/>
                <w:szCs w:val="18"/>
              </w:rPr>
              <w:t xml:space="preserve">    ca_filepath="AmazonRootCA1.pem",</w:t>
            </w:r>
          </w:p>
          <w:p>
            <w:pPr>
              <w:spacing w:after="20"/>
            </w:pPr>
            <w:r>
              <w:rPr>
                <w:rFonts w:ascii="Courier New" w:cs="Courier New" w:eastAsia="Courier New" w:hAnsi="Courier New"/>
                <w:color w:val="E7E9EE"/>
                <w:sz w:val="18"/>
                <w:szCs w:val="18"/>
              </w:rPr>
              <w:t xml:space="preserve">    client_id="Gateway_Pi4_Demo"</w:t>
            </w:r>
          </w:p>
          <w:p>
            <w:pPr>
              <w:spacing w:after="20"/>
            </w:pPr>
            <w:r>
              <w:rPr>
                <w:rFonts w:ascii="Courier New" w:cs="Courier New" w:eastAsia="Courier New" w:hAnsi="Courier New"/>
                <w:color w:val="E7E9EE"/>
                <w:sz w:val="18"/>
                <w:szCs w:val="18"/>
              </w:rPr>
              <w:t xml:space="preserve">)</w:t>
            </w:r>
          </w:p>
          <w:p>
            <w:pPr>
              <w:spacing w:after="20"/>
            </w:pPr>
            <w:r>
              <w:rPr>
                <w:rFonts w:ascii="Courier New" w:cs="Courier New" w:eastAsia="Courier New" w:hAnsi="Courier New"/>
                <w:color w:val="E7E9EE"/>
                <w:sz w:val="18"/>
                <w:szCs w:val="18"/>
              </w:rPr>
              <w:t xml:space="preserve">mqtt_conn.connect().result()</w:t>
            </w:r>
          </w:p>
          <w:p>
            <w:pPr>
              <w:spacing w:after="20"/>
            </w:pPr>
            <w:r>
              <w:rPr>
                <w:rFonts w:ascii="Courier New" w:cs="Courier New" w:eastAsia="Courier New" w:hAnsi="Courier New"/>
                <w:color w:val="E7E9EE"/>
                <w:sz w:val="18"/>
                <w:szCs w:val="18"/>
              </w:rPr>
              <w:t xml:space="preserve"> </w:t>
            </w:r>
          </w:p>
          <w:p>
            <w:pPr>
              <w:spacing w:after="20"/>
            </w:pPr>
            <w:r>
              <w:rPr>
                <w:rFonts w:ascii="Courier New" w:cs="Courier New" w:eastAsia="Courier New" w:hAnsi="Courier New"/>
                <w:color w:val="E7E9EE"/>
                <w:sz w:val="18"/>
                <w:szCs w:val="18"/>
              </w:rPr>
              <w:t xml:space="preserve"># Sensor Data Ingestion &amp; MQTT Publish</w:t>
            </w:r>
          </w:p>
          <w:p>
            <w:pPr>
              <w:spacing w:after="20"/>
            </w:pPr>
            <w:r>
              <w:rPr>
                <w:rFonts w:ascii="Courier New" w:cs="Courier New" w:eastAsia="Courier New" w:hAnsi="Courier New"/>
                <w:color w:val="E7E9EE"/>
                <w:sz w:val="18"/>
                <w:szCs w:val="18"/>
              </w:rPr>
              <w:t xml:space="preserve">payload = {"device_id": "sensor_node_01", "temp": 24.5, "humidity": 58.2, "timestamp": 1775736000}</w:t>
            </w:r>
          </w:p>
          <w:p>
            <w:pPr>
              <w:spacing w:after="20"/>
            </w:pPr>
            <w:r>
              <w:rPr>
                <w:rFonts w:ascii="Courier New" w:cs="Courier New" w:eastAsia="Courier New" w:hAnsi="Courier New"/>
                <w:color w:val="E7E9EE"/>
                <w:sz w:val="18"/>
                <w:szCs w:val="18"/>
              </w:rPr>
              <w:t xml:space="preserve">mqtt_conn.publish(</w:t>
            </w:r>
          </w:p>
          <w:p>
            <w:pPr>
              <w:spacing w:after="20"/>
            </w:pPr>
            <w:r>
              <w:rPr>
                <w:rFonts w:ascii="Courier New" w:cs="Courier New" w:eastAsia="Courier New" w:hAnsi="Courier New"/>
                <w:color w:val="E7E9EE"/>
                <w:sz w:val="18"/>
                <w:szCs w:val="18"/>
              </w:rPr>
              <w:t xml:space="preserve">    topic="tech300/telemetry/node_01",</w:t>
            </w:r>
          </w:p>
          <w:p>
            <w:pPr>
              <w:spacing w:after="20"/>
            </w:pPr>
            <w:r>
              <w:rPr>
                <w:rFonts w:ascii="Courier New" w:cs="Courier New" w:eastAsia="Courier New" w:hAnsi="Courier New"/>
                <w:color w:val="E7E9EE"/>
                <w:sz w:val="18"/>
                <w:szCs w:val="18"/>
              </w:rPr>
              <w:t xml:space="preserve">    payload=json.dumps(payload),</w:t>
            </w:r>
          </w:p>
          <w:p>
            <w:pPr>
              <w:spacing w:after="20"/>
            </w:pPr>
            <w:r>
              <w:rPr>
                <w:rFonts w:ascii="Courier New" w:cs="Courier New" w:eastAsia="Courier New" w:hAnsi="Courier New"/>
                <w:color w:val="E7E9EE"/>
                <w:sz w:val="18"/>
                <w:szCs w:val="18"/>
              </w:rPr>
              <w:t xml:space="preserve">    qos=mqtt.QoS.AT_LEAST_ONCE</w:t>
            </w:r>
          </w:p>
          <w:p>
            <w:pPr>
              <w:spacing w:after="20"/>
            </w:pPr>
            <w:r>
              <w:rPr>
                <w:rFonts w:ascii="Courier New" w:cs="Courier New" w:eastAsia="Courier New" w:hAnsi="Courier New"/>
                <w:color w:val="E7E9EE"/>
                <w:sz w:val="18"/>
                <w:szCs w:val="18"/>
              </w:rPr>
              <w:t xml:space="preserve">)</w:t>
            </w:r>
          </w:p>
        </w:tc>
      </w:tr>
    </w:tbl>
    <w:p>
      <w:pPr>
        <w:spacing w:after="160" w:line="276"/>
        <w:jc w:val="left"/>
      </w:pPr>
      <w:r>
        <w:rPr>
          <w:color w:val="222222"/>
          <w:sz w:val="21"/>
          <w:szCs w:val="21"/>
        </w:rPr>
        <w:t xml:space="preserve">Note that the MQTT topic follows the tech300/telemetry/&lt;node_id&gt; convention, which keeps every team's traffic uniquely namespaced and matches the topic scope granted by the IoT policy in Section 9.2.</w:t>
      </w:r>
    </w:p>
    <w:p>
      <w:pPr>
        <w:pStyle w:val="Heading1"/>
        <w:pBdr>
          <w:bottom w:val="single" w:color="C9D3E0" w:sz="6" w:space="6"/>
        </w:pBdr>
        <w:spacing w:after="200" w:before="420"/>
      </w:pPr>
      <w:r>
        <w:rPr>
          <w:b/>
          <w:bCs/>
          <w:color w:val="1E2761"/>
          <w:sz w:val="30"/>
          <w:szCs w:val="30"/>
        </w:rPr>
        <w:t xml:space="preserve">11. AWS Cloud Backend Architecture</w:t>
      </w:r>
    </w:p>
    <w:p>
      <w:pPr>
        <w:spacing w:after="160" w:line="276"/>
        <w:jc w:val="left"/>
      </w:pPr>
      <w:r>
        <w:rPr>
          <w:color w:val="222222"/>
          <w:sz w:val="21"/>
          <w:szCs w:val="21"/>
        </w:rPr>
        <w:t xml:space="preserve">Once telemetry reaches AWS IoT Core, two parallel channels carry it to the Android application: a real-time push channel for live updates, and a historical pull channel for queried, time-ranged data.</w:t>
      </w:r>
    </w:p>
    <w:p>
      <w:pPr>
        <w:pStyle w:val="Heading2"/>
        <w:spacing w:after="140" w:before="300"/>
      </w:pPr>
      <w:r>
        <w:rPr>
          <w:b/>
          <w:bCs/>
          <w:color w:val="1E2761"/>
          <w:sz w:val="24"/>
          <w:szCs w:val="24"/>
        </w:rPr>
        <w:t xml:space="preserve">11.1 Real-Time Push Channel</w:t>
      </w:r>
    </w:p>
    <w:p>
      <w:pPr>
        <w:spacing w:after="160" w:line="276"/>
        <w:jc w:val="left"/>
      </w:pPr>
      <w:r>
        <w:rPr>
          <w:color w:val="222222"/>
          <w:sz w:val="21"/>
          <w:szCs w:val="21"/>
        </w:rPr>
        <w:t xml:space="preserve">The Android application maintains an open channel — either an AWS AppSync (GraphQL) subscription or a direct AWS IoT Core WebSockets bridge — for instant telemetry updates and alert notifications, without needing to poll.</w:t>
      </w:r>
    </w:p>
    <w:p>
      <w:pPr>
        <w:pStyle w:val="Heading2"/>
        <w:spacing w:after="140" w:before="300"/>
      </w:pPr>
      <w:r>
        <w:rPr>
          <w:b/>
          <w:bCs/>
          <w:color w:val="1E2761"/>
          <w:sz w:val="24"/>
          <w:szCs w:val="24"/>
        </w:rPr>
        <w:t xml:space="preserve">11.2 Storage and Compute</w:t>
      </w:r>
    </w:p>
    <w:p>
      <w:pPr>
        <w:pStyle w:val="ListParagraph"/>
        <w:numPr>
          <w:ilvl w:val="0"/>
          <w:numId w:val="2"/>
        </w:numPr>
        <w:spacing w:after="90" w:line="268"/>
      </w:pPr>
      <w:r>
        <w:rPr>
          <w:color w:val="222222"/>
          <w:sz w:val="21"/>
          <w:szCs w:val="21"/>
        </w:rPr>
        <w:t xml:space="preserve">Storage: time-series telemetry is persisted in Amazon DynamoDB, with bulk or archival data optionally written to Amazon S3.</w:t>
      </w:r>
    </w:p>
    <w:p>
      <w:pPr>
        <w:pStyle w:val="ListParagraph"/>
        <w:numPr>
          <w:ilvl w:val="0"/>
          <w:numId w:val="2"/>
        </w:numPr>
        <w:spacing w:after="90" w:line="268"/>
      </w:pPr>
      <w:r>
        <w:rPr>
          <w:color w:val="222222"/>
          <w:sz w:val="21"/>
          <w:szCs w:val="21"/>
        </w:rPr>
        <w:t xml:space="preserve">Compute: AWS Lambda functions handle API requests and trigger (alerting) logic.</w:t>
      </w:r>
    </w:p>
    <w:p>
      <w:pPr>
        <w:pStyle w:val="Heading2"/>
        <w:spacing w:after="140" w:before="300"/>
      </w:pPr>
      <w:r>
        <w:rPr>
          <w:b/>
          <w:bCs/>
          <w:color w:val="1E2761"/>
          <w:sz w:val="24"/>
          <w:szCs w:val="24"/>
        </w:rPr>
        <w:t xml:space="preserve">11.3 Historical Data Pipeline (Pull Channel)</w:t>
      </w:r>
    </w:p>
    <w:p>
      <w:pPr>
        <w:spacing w:after="160" w:line="276"/>
        <w:jc w:val="left"/>
      </w:pPr>
      <w:r>
        <w:rPr>
          <w:color w:val="222222"/>
          <w:sz w:val="21"/>
          <w:szCs w:val="21"/>
        </w:rPr>
        <w:t xml:space="preserve">Amazon API Gateway exposes an HTTPS REST endpoint (GET /telemetry/history). A request to this endpoint triggers an AWS Lambda function (Python 3.12), which queries the DynamoDB time-series table and returns the result as a JSON payload to the requesting client.</w:t>
      </w:r>
    </w:p>
    <w:p>
      <w:pPr>
        <w:pStyle w:val="Heading2"/>
        <w:spacing w:after="140" w:before="300"/>
      </w:pPr>
      <w:r>
        <w:rPr>
          <w:b/>
          <w:bCs/>
          <w:color w:val="1E2761"/>
          <w:sz w:val="24"/>
          <w:szCs w:val="24"/>
        </w:rPr>
        <w:t xml:space="preserve">11.4 IoT Rules Engine — Routing Logic</w:t>
      </w:r>
    </w:p>
    <w:p>
      <w:pPr>
        <w:spacing w:after="160" w:line="276"/>
        <w:jc w:val="left"/>
      </w:pPr>
      <w:r>
        <w:rPr>
          <w:color w:val="222222"/>
          <w:sz w:val="21"/>
          <w:szCs w:val="21"/>
        </w:rPr>
        <w:t xml:space="preserve">An AWS IoT Rule continuously evaluates incoming telemetry using a SQL-like statement over the MQTT topic space, and routes matching messages to one or more target actions.</w:t>
      </w:r>
    </w:p>
    <w:tbl>
      <w:tblPr>
        <w:tblW w:type="pct" w:w="100%"/>
        <w:tblBorders>
          <w:top w:val="single" w:color="3A3F4B" w:sz="4"/>
          <w:left w:val="single" w:color="3A3F4B" w:sz="4"/>
          <w:bottom w:val="single" w:color="3A3F4B" w:sz="4"/>
          <w:right w:val="single" w:color="3A3F4B" w:sz="4"/>
          <w:insideH w:val="none" w:color="FFFFFF" w:sz="0"/>
          <w:insideV w:val="none" w:color="FFFFFF" w:sz="0"/>
        </w:tblBorders>
      </w:tblPr>
      <w:tblGrid>
        <w:gridCol w:w="100"/>
      </w:tblGrid>
      <w:tr>
        <w:tc>
          <w:tcPr>
            <w:shd w:fill="1E1F26" w:val="clear"/>
            <w:tcMar>
              <w:top w:type="dxa" w:w="160"/>
              <w:left w:type="dxa" w:w="220"/>
              <w:bottom w:type="dxa" w:w="160"/>
              <w:right w:type="dxa" w:w="220"/>
            </w:tcMar>
          </w:tcPr>
          <w:p>
            <w:pPr>
              <w:spacing w:after="20"/>
            </w:pPr>
            <w:r>
              <w:rPr>
                <w:rFonts w:ascii="Courier New" w:cs="Courier New" w:eastAsia="Courier New" w:hAnsi="Courier New"/>
                <w:color w:val="E7E9EE"/>
                <w:sz w:val="18"/>
                <w:szCs w:val="18"/>
              </w:rPr>
              <w:t xml:space="preserve">SELECT device_id, temp, humidity, timestamp</w:t>
            </w:r>
          </w:p>
          <w:p>
            <w:pPr>
              <w:spacing w:after="20"/>
            </w:pPr>
            <w:r>
              <w:rPr>
                <w:rFonts w:ascii="Courier New" w:cs="Courier New" w:eastAsia="Courier New" w:hAnsi="Courier New"/>
                <w:color w:val="E7E9EE"/>
                <w:sz w:val="18"/>
                <w:szCs w:val="18"/>
              </w:rPr>
              <w:t xml:space="preserve">FROM 'tech300/telemetry/+'</w:t>
            </w:r>
          </w:p>
          <w:p>
            <w:pPr>
              <w:spacing w:after="20"/>
            </w:pPr>
            <w:r>
              <w:rPr>
                <w:rFonts w:ascii="Courier New" w:cs="Courier New" w:eastAsia="Courier New" w:hAnsi="Courier New"/>
                <w:color w:val="E7E9EE"/>
                <w:sz w:val="18"/>
                <w:szCs w:val="18"/>
              </w:rPr>
              <w:t xml:space="preserve">WHERE temp &gt; 0</w:t>
            </w:r>
          </w:p>
        </w:tc>
      </w:tr>
    </w:tbl>
    <w:p>
      <w:pPr>
        <w:pStyle w:val="Heading2"/>
        <w:spacing w:after="140" w:before="300"/>
      </w:pPr>
      <w:r>
        <w:rPr>
          <w:b/>
          <w:bCs/>
          <w:color w:val="1E2761"/>
          <w:sz w:val="24"/>
          <w:szCs w:val="24"/>
        </w:rPr>
        <w:t xml:space="preserve">11.5 Target Actions</w:t>
      </w:r>
    </w:p>
    <w:tbl>
      <w:tblPr>
        <w:tblW w:type="dxa" w:w="8800"/>
        <w:tblBorders>
          <w:top w:val="single" w:color="C9D3E0" w:sz="4"/>
          <w:left w:val="single" w:color="C9D3E0" w:sz="4"/>
          <w:bottom w:val="single" w:color="C9D3E0" w:sz="4"/>
          <w:right w:val="single" w:color="C9D3E0" w:sz="4"/>
          <w:insideH w:val="single" w:color="C9D3E0" w:sz="4"/>
          <w:insideV w:val="single" w:color="C9D3E0" w:sz="4"/>
        </w:tblBorders>
      </w:tblPr>
      <w:tblGrid>
        <w:gridCol w:w="2500"/>
        <w:gridCol w:w="2000"/>
        <w:gridCol w:w="4300"/>
      </w:tblGrid>
      <w:tr>
        <w:trPr>
          <w:tblHeader/>
        </w:trPr>
        <w:tc>
          <w:tcPr>
            <w:tcW w:type="dxa" w:w="2500"/>
            <w:shd w:fill="1E2761" w:val="clear"/>
            <w:tcMar>
              <w:top w:type="dxa" w:w="100"/>
              <w:left w:type="dxa" w:w="140"/>
              <w:bottom w:type="dxa" w:w="100"/>
              <w:right w:type="dxa" w:w="140"/>
            </w:tcMar>
            <w:vAlign w:val="center"/>
          </w:tcPr>
          <w:p>
            <w:pPr>
              <w:jc w:val="left"/>
            </w:pPr>
            <w:r>
              <w:rPr>
                <w:b/>
                <w:bCs/>
                <w:color w:val="FFFFFF"/>
                <w:sz w:val="19"/>
                <w:szCs w:val="19"/>
              </w:rPr>
              <w:t xml:space="preserve">Target</w:t>
            </w:r>
          </w:p>
        </w:tc>
        <w:tc>
          <w:tcPr>
            <w:tcW w:type="dxa" w:w="2000"/>
            <w:shd w:fill="1E2761" w:val="clear"/>
            <w:tcMar>
              <w:top w:type="dxa" w:w="100"/>
              <w:left w:type="dxa" w:w="140"/>
              <w:bottom w:type="dxa" w:w="100"/>
              <w:right w:type="dxa" w:w="140"/>
            </w:tcMar>
            <w:vAlign w:val="center"/>
          </w:tcPr>
          <w:p>
            <w:pPr>
              <w:jc w:val="left"/>
            </w:pPr>
            <w:r>
              <w:rPr>
                <w:b/>
                <w:bCs/>
                <w:color w:val="FFFFFF"/>
                <w:sz w:val="19"/>
                <w:szCs w:val="19"/>
              </w:rPr>
              <w:t xml:space="preserve">Service</w:t>
            </w:r>
          </w:p>
        </w:tc>
        <w:tc>
          <w:tcPr>
            <w:tcW w:type="dxa" w:w="4300"/>
            <w:shd w:fill="1E2761" w:val="clear"/>
            <w:tcMar>
              <w:top w:type="dxa" w:w="100"/>
              <w:left w:type="dxa" w:w="140"/>
              <w:bottom w:type="dxa" w:w="100"/>
              <w:right w:type="dxa" w:w="140"/>
            </w:tcMar>
            <w:vAlign w:val="center"/>
          </w:tcPr>
          <w:p>
            <w:pPr>
              <w:jc w:val="left"/>
            </w:pPr>
            <w:r>
              <w:rPr>
                <w:b/>
                <w:bCs/>
                <w:color w:val="FFFFFF"/>
                <w:sz w:val="19"/>
                <w:szCs w:val="19"/>
              </w:rPr>
              <w:t xml:space="preserve">Configuration</w:t>
            </w:r>
          </w:p>
        </w:tc>
      </w:tr>
      <w:tr>
        <w:tc>
          <w:tcPr>
            <w:tcW w:type="dxa" w:w="2500"/>
            <w:tcMar>
              <w:top w:type="dxa" w:w="100"/>
              <w:left w:type="dxa" w:w="140"/>
              <w:bottom w:type="dxa" w:w="100"/>
              <w:right w:type="dxa" w:w="140"/>
            </w:tcMar>
            <w:vAlign w:val="center"/>
          </w:tcPr>
          <w:p>
            <w:pPr>
              <w:jc w:val="left"/>
            </w:pPr>
            <w:r>
              <w:rPr>
                <w:b w:val="false"/>
                <w:bCs w:val="false"/>
                <w:color w:val="222222"/>
                <w:sz w:val="19"/>
                <w:szCs w:val="19"/>
              </w:rPr>
              <w:t xml:space="preserve">1 — Cloud Storage</w:t>
            </w:r>
          </w:p>
        </w:tc>
        <w:tc>
          <w:tcPr>
            <w:tcW w:type="dxa" w:w="2000"/>
            <w:tcMar>
              <w:top w:type="dxa" w:w="100"/>
              <w:left w:type="dxa" w:w="140"/>
              <w:bottom w:type="dxa" w:w="100"/>
              <w:right w:type="dxa" w:w="140"/>
            </w:tcMar>
            <w:vAlign w:val="center"/>
          </w:tcPr>
          <w:p>
            <w:pPr>
              <w:jc w:val="left"/>
            </w:pPr>
            <w:r>
              <w:rPr>
                <w:b w:val="false"/>
                <w:bCs w:val="false"/>
                <w:color w:val="222222"/>
                <w:sz w:val="19"/>
                <w:szCs w:val="19"/>
              </w:rPr>
              <w:t xml:space="preserve">Amazon DynamoDB</w:t>
            </w:r>
          </w:p>
        </w:tc>
        <w:tc>
          <w:tcPr>
            <w:tcW w:type="dxa" w:w="4300"/>
            <w:tcMar>
              <w:top w:type="dxa" w:w="100"/>
              <w:left w:type="dxa" w:w="140"/>
              <w:bottom w:type="dxa" w:w="100"/>
              <w:right w:type="dxa" w:w="140"/>
            </w:tcMar>
            <w:vAlign w:val="center"/>
          </w:tcPr>
          <w:p>
            <w:pPr>
              <w:jc w:val="left"/>
            </w:pPr>
            <w:r>
              <w:rPr>
                <w:b w:val="false"/>
                <w:bCs w:val="false"/>
                <w:color w:val="222222"/>
                <w:sz w:val="19"/>
                <w:szCs w:val="19"/>
              </w:rPr>
              <w:t xml:space="preserve">Table: SensorTelemetry. Partition key: device_id (String). Sort key: timestamp (Number).</w:t>
            </w:r>
          </w:p>
        </w:tc>
      </w:tr>
      <w:tr>
        <w:tc>
          <w:tcPr>
            <w:tcW w:type="dxa" w:w="2500"/>
            <w:tcMar>
              <w:top w:type="dxa" w:w="100"/>
              <w:left w:type="dxa" w:w="140"/>
              <w:bottom w:type="dxa" w:w="100"/>
              <w:right w:type="dxa" w:w="140"/>
            </w:tcMar>
            <w:vAlign w:val="center"/>
          </w:tcPr>
          <w:p>
            <w:pPr>
              <w:jc w:val="left"/>
            </w:pPr>
            <w:r>
              <w:rPr>
                <w:b w:val="false"/>
                <w:bCs w:val="false"/>
                <w:color w:val="222222"/>
                <w:sz w:val="19"/>
                <w:szCs w:val="19"/>
              </w:rPr>
              <w:t xml:space="preserve">2 — Alerting Engine</w:t>
            </w:r>
          </w:p>
        </w:tc>
        <w:tc>
          <w:tcPr>
            <w:tcW w:type="dxa" w:w="2000"/>
            <w:tcMar>
              <w:top w:type="dxa" w:w="100"/>
              <w:left w:type="dxa" w:w="140"/>
              <w:bottom w:type="dxa" w:w="100"/>
              <w:right w:type="dxa" w:w="140"/>
            </w:tcMar>
            <w:vAlign w:val="center"/>
          </w:tcPr>
          <w:p>
            <w:pPr>
              <w:jc w:val="left"/>
            </w:pPr>
            <w:r>
              <w:rPr>
                <w:b w:val="false"/>
                <w:bCs w:val="false"/>
                <w:color w:val="222222"/>
                <w:sz w:val="19"/>
                <w:szCs w:val="19"/>
              </w:rPr>
              <w:t xml:space="preserve">AWS Lambda</w:t>
            </w:r>
          </w:p>
        </w:tc>
        <w:tc>
          <w:tcPr>
            <w:tcW w:type="dxa" w:w="4300"/>
            <w:tcMar>
              <w:top w:type="dxa" w:w="100"/>
              <w:left w:type="dxa" w:w="140"/>
              <w:bottom w:type="dxa" w:w="100"/>
              <w:right w:type="dxa" w:w="140"/>
            </w:tcMar>
            <w:vAlign w:val="center"/>
          </w:tcPr>
          <w:p>
            <w:pPr>
              <w:jc w:val="left"/>
            </w:pPr>
            <w:r>
              <w:rPr>
                <w:b w:val="false"/>
                <w:bCs w:val="false"/>
                <w:color w:val="222222"/>
                <w:sz w:val="19"/>
                <w:szCs w:val="19"/>
              </w:rPr>
              <w:t xml:space="preserve">Evaluates each payload in real time; trigger condition temp &gt; 30.0°C dispatches an immediate push notification.</w:t>
            </w:r>
          </w:p>
        </w:tc>
      </w:tr>
    </w:tbl>
    <w:p>
      <w:pPr>
        <w:spacing w:after="80" w:before="12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228850"/>
                    </a:xfrm>
                    <a:prstGeom prst="rect">
                      <a:avLst/>
                    </a:prstGeom>
                  </pic:spPr>
                </pic:pic>
              </a:graphicData>
            </a:graphic>
          </wp:inline>
        </w:drawing>
      </w:r>
    </w:p>
    <w:p>
      <w:pPr>
        <w:spacing w:after="220"/>
        <w:jc w:val="center"/>
      </w:pPr>
      <w:r>
        <w:rPr>
          <w:i/>
          <w:iCs/>
          <w:color w:val="5A6472"/>
          <w:sz w:val="18"/>
          <w:szCs w:val="18"/>
        </w:rPr>
        <w:t xml:space="preserve">Figure 8. Extended AWS IoT reference pipeline (Ingest → Transform → Insights). The project's core path — IoT Core → Rule → Lambda → DynamoDB → AppSync — corresponds to the left/center of this pattern; teams pursuing extension work can add Kinesis, Redshift, SageMaker, or OpenSearch as shown here for scaled analytics.</w:t>
      </w:r>
    </w:p>
    <w:p>
      <w:pPr>
        <w:pStyle w:val="Heading1"/>
        <w:pBdr>
          <w:bottom w:val="single" w:color="C9D3E0" w:sz="6" w:space="6"/>
        </w:pBdr>
        <w:spacing w:after="200" w:before="420"/>
      </w:pPr>
      <w:r>
        <w:rPr>
          <w:b/>
          <w:bCs/>
          <w:color w:val="1E2761"/>
          <w:sz w:val="30"/>
          <w:szCs w:val="30"/>
        </w:rPr>
        <w:t xml:space="preserve">12. Android Mobile Application Architecture</w:t>
      </w:r>
    </w:p>
    <w:p>
      <w:pPr>
        <w:pStyle w:val="Heading2"/>
        <w:spacing w:after="140" w:before="300"/>
      </w:pPr>
      <w:r>
        <w:rPr>
          <w:b/>
          <w:bCs/>
          <w:color w:val="1E2761"/>
          <w:sz w:val="24"/>
          <w:szCs w:val="24"/>
        </w:rPr>
        <w:t xml:space="preserve">12.1 Development Environment</w:t>
      </w:r>
    </w:p>
    <w:tbl>
      <w:tblPr>
        <w:tblW w:type="dxa" w:w="8800"/>
        <w:tblBorders>
          <w:top w:val="single" w:color="C9D3E0" w:sz="4"/>
          <w:left w:val="single" w:color="C9D3E0" w:sz="4"/>
          <w:bottom w:val="single" w:color="C9D3E0" w:sz="4"/>
          <w:right w:val="single" w:color="C9D3E0" w:sz="4"/>
          <w:insideH w:val="single" w:color="C9D3E0" w:sz="4"/>
          <w:insideV w:val="single" w:color="C9D3E0" w:sz="4"/>
        </w:tblBorders>
      </w:tblPr>
      <w:tblGrid>
        <w:gridCol w:w="2600"/>
        <w:gridCol w:w="6200"/>
      </w:tblGrid>
      <w:tr>
        <w:trPr>
          <w:tblHeader/>
        </w:trPr>
        <w:tc>
          <w:tcPr>
            <w:tcW w:type="dxa" w:w="2600"/>
            <w:shd w:fill="1E2761" w:val="clear"/>
            <w:tcMar>
              <w:top w:type="dxa" w:w="100"/>
              <w:left w:type="dxa" w:w="140"/>
              <w:bottom w:type="dxa" w:w="100"/>
              <w:right w:type="dxa" w:w="140"/>
            </w:tcMar>
            <w:vAlign w:val="center"/>
          </w:tcPr>
          <w:p>
            <w:pPr>
              <w:jc w:val="left"/>
            </w:pPr>
            <w:r>
              <w:rPr>
                <w:b/>
                <w:bCs/>
                <w:color w:val="FFFFFF"/>
                <w:sz w:val="19"/>
                <w:szCs w:val="19"/>
              </w:rPr>
              <w:t xml:space="preserve">Item</w:t>
            </w:r>
          </w:p>
        </w:tc>
        <w:tc>
          <w:tcPr>
            <w:tcW w:type="dxa" w:w="6200"/>
            <w:shd w:fill="1E2761" w:val="clear"/>
            <w:tcMar>
              <w:top w:type="dxa" w:w="100"/>
              <w:left w:type="dxa" w:w="140"/>
              <w:bottom w:type="dxa" w:w="100"/>
              <w:right w:type="dxa" w:w="140"/>
            </w:tcMar>
            <w:vAlign w:val="center"/>
          </w:tcPr>
          <w:p>
            <w:pPr>
              <w:jc w:val="left"/>
            </w:pPr>
            <w:r>
              <w:rPr>
                <w:b/>
                <w:bCs/>
                <w:color w:val="FFFFFF"/>
                <w:sz w:val="19"/>
                <w:szCs w:val="19"/>
              </w:rPr>
              <w:t xml:space="preserve">Choice</w:t>
            </w:r>
          </w:p>
        </w:tc>
      </w:tr>
      <w:tr>
        <w:tc>
          <w:tcPr>
            <w:tcW w:type="dxa" w:w="2600"/>
            <w:tcMar>
              <w:top w:type="dxa" w:w="100"/>
              <w:left w:type="dxa" w:w="140"/>
              <w:bottom w:type="dxa" w:w="100"/>
              <w:right w:type="dxa" w:w="140"/>
            </w:tcMar>
            <w:vAlign w:val="center"/>
          </w:tcPr>
          <w:p>
            <w:pPr>
              <w:jc w:val="left"/>
            </w:pPr>
            <w:r>
              <w:rPr>
                <w:b w:val="false"/>
                <w:bCs w:val="false"/>
                <w:color w:val="222222"/>
                <w:sz w:val="19"/>
                <w:szCs w:val="19"/>
              </w:rPr>
              <w:t xml:space="preserve">Target SDK</w:t>
            </w:r>
          </w:p>
        </w:tc>
        <w:tc>
          <w:tcPr>
            <w:tcW w:type="dxa" w:w="6200"/>
            <w:tcMar>
              <w:top w:type="dxa" w:w="100"/>
              <w:left w:type="dxa" w:w="140"/>
              <w:bottom w:type="dxa" w:w="100"/>
              <w:right w:type="dxa" w:w="140"/>
            </w:tcMar>
            <w:vAlign w:val="center"/>
          </w:tcPr>
          <w:p>
            <w:pPr>
              <w:jc w:val="left"/>
            </w:pPr>
            <w:r>
              <w:rPr>
                <w:b w:val="false"/>
                <w:bCs w:val="false"/>
                <w:color w:val="222222"/>
                <w:sz w:val="19"/>
                <w:szCs w:val="19"/>
              </w:rPr>
              <w:t xml:space="preserve">34+</w:t>
            </w:r>
          </w:p>
        </w:tc>
      </w:tr>
      <w:tr>
        <w:tc>
          <w:tcPr>
            <w:tcW w:type="dxa" w:w="2600"/>
            <w:tcMar>
              <w:top w:type="dxa" w:w="100"/>
              <w:left w:type="dxa" w:w="140"/>
              <w:bottom w:type="dxa" w:w="100"/>
              <w:right w:type="dxa" w:w="140"/>
            </w:tcMar>
            <w:vAlign w:val="center"/>
          </w:tcPr>
          <w:p>
            <w:pPr>
              <w:jc w:val="left"/>
            </w:pPr>
            <w:r>
              <w:rPr>
                <w:b w:val="false"/>
                <w:bCs w:val="false"/>
                <w:color w:val="222222"/>
                <w:sz w:val="19"/>
                <w:szCs w:val="19"/>
              </w:rPr>
              <w:t xml:space="preserve">IDE &amp; Language</w:t>
            </w:r>
          </w:p>
        </w:tc>
        <w:tc>
          <w:tcPr>
            <w:tcW w:type="dxa" w:w="6200"/>
            <w:tcMar>
              <w:top w:type="dxa" w:w="100"/>
              <w:left w:type="dxa" w:w="140"/>
              <w:bottom w:type="dxa" w:w="100"/>
              <w:right w:type="dxa" w:w="140"/>
            </w:tcMar>
            <w:vAlign w:val="center"/>
          </w:tcPr>
          <w:p>
            <w:pPr>
              <w:jc w:val="left"/>
            </w:pPr>
            <w:r>
              <w:rPr>
                <w:b w:val="false"/>
                <w:bCs w:val="false"/>
                <w:color w:val="222222"/>
                <w:sz w:val="19"/>
                <w:szCs w:val="19"/>
              </w:rPr>
              <w:t xml:space="preserve">Android Studio, Kotlin / Java</w:t>
            </w:r>
          </w:p>
        </w:tc>
      </w:tr>
      <w:tr>
        <w:tc>
          <w:tcPr>
            <w:tcW w:type="dxa" w:w="2600"/>
            <w:tcMar>
              <w:top w:type="dxa" w:w="100"/>
              <w:left w:type="dxa" w:w="140"/>
              <w:bottom w:type="dxa" w:w="100"/>
              <w:right w:type="dxa" w:w="140"/>
            </w:tcMar>
            <w:vAlign w:val="center"/>
          </w:tcPr>
          <w:p>
            <w:pPr>
              <w:jc w:val="left"/>
            </w:pPr>
            <w:r>
              <w:rPr>
                <w:b w:val="false"/>
                <w:bCs w:val="false"/>
                <w:color w:val="222222"/>
                <w:sz w:val="19"/>
                <w:szCs w:val="19"/>
              </w:rPr>
              <w:t xml:space="preserve">SDK Libraries</w:t>
            </w:r>
          </w:p>
        </w:tc>
        <w:tc>
          <w:tcPr>
            <w:tcW w:type="dxa" w:w="6200"/>
            <w:tcMar>
              <w:top w:type="dxa" w:w="100"/>
              <w:left w:type="dxa" w:w="140"/>
              <w:bottom w:type="dxa" w:w="100"/>
              <w:right w:type="dxa" w:w="140"/>
            </w:tcMar>
            <w:vAlign w:val="center"/>
          </w:tcPr>
          <w:p>
            <w:pPr>
              <w:jc w:val="left"/>
            </w:pPr>
            <w:r>
              <w:rPr>
                <w:b w:val="false"/>
                <w:bCs w:val="false"/>
                <w:color w:val="222222"/>
                <w:sz w:val="19"/>
                <w:szCs w:val="19"/>
              </w:rPr>
              <w:t xml:space="preserve">AWS Mobile SDK, OkHttp, Retrofit, Paho MQTT</w:t>
            </w:r>
          </w:p>
        </w:tc>
      </w:tr>
    </w:tbl>
    <w:p>
      <w:pPr>
        <w:pStyle w:val="Heading2"/>
        <w:spacing w:after="140" w:before="300"/>
      </w:pPr>
      <w:r>
        <w:rPr>
          <w:b/>
          <w:bCs/>
          <w:color w:val="1E2761"/>
          <w:sz w:val="24"/>
          <w:szCs w:val="24"/>
        </w:rPr>
        <w:t xml:space="preserve">12.2 Core Modules</w:t>
      </w:r>
    </w:p>
    <w:tbl>
      <w:tblPr>
        <w:tblW w:type="dxa" w:w="8800"/>
        <w:tblBorders>
          <w:top w:val="single" w:color="C9D3E0" w:sz="4"/>
          <w:left w:val="single" w:color="C9D3E0" w:sz="4"/>
          <w:bottom w:val="single" w:color="C9D3E0" w:sz="4"/>
          <w:right w:val="single" w:color="C9D3E0" w:sz="4"/>
          <w:insideH w:val="single" w:color="C9D3E0" w:sz="4"/>
          <w:insideV w:val="single" w:color="C9D3E0" w:sz="4"/>
        </w:tblBorders>
      </w:tblPr>
      <w:tblGrid>
        <w:gridCol w:w="2600"/>
        <w:gridCol w:w="6200"/>
      </w:tblGrid>
      <w:tr>
        <w:trPr>
          <w:tblHeader/>
        </w:trPr>
        <w:tc>
          <w:tcPr>
            <w:tcW w:type="dxa" w:w="2600"/>
            <w:shd w:fill="1E2761" w:val="clear"/>
            <w:tcMar>
              <w:top w:type="dxa" w:w="100"/>
              <w:left w:type="dxa" w:w="140"/>
              <w:bottom w:type="dxa" w:w="100"/>
              <w:right w:type="dxa" w:w="140"/>
            </w:tcMar>
            <w:vAlign w:val="center"/>
          </w:tcPr>
          <w:p>
            <w:pPr>
              <w:jc w:val="left"/>
            </w:pPr>
            <w:r>
              <w:rPr>
                <w:b/>
                <w:bCs/>
                <w:color w:val="FFFFFF"/>
                <w:sz w:val="19"/>
                <w:szCs w:val="19"/>
              </w:rPr>
              <w:t xml:space="preserve">Module</w:t>
            </w:r>
          </w:p>
        </w:tc>
        <w:tc>
          <w:tcPr>
            <w:tcW w:type="dxa" w:w="6200"/>
            <w:shd w:fill="1E2761" w:val="clear"/>
            <w:tcMar>
              <w:top w:type="dxa" w:w="100"/>
              <w:left w:type="dxa" w:w="140"/>
              <w:bottom w:type="dxa" w:w="100"/>
              <w:right w:type="dxa" w:w="140"/>
            </w:tcMar>
            <w:vAlign w:val="center"/>
          </w:tcPr>
          <w:p>
            <w:pPr>
              <w:jc w:val="left"/>
            </w:pPr>
            <w:r>
              <w:rPr>
                <w:b/>
                <w:bCs/>
                <w:color w:val="FFFFFF"/>
                <w:sz w:val="19"/>
                <w:szCs w:val="19"/>
              </w:rPr>
              <w:t xml:space="preserve">Role</w:t>
            </w:r>
          </w:p>
        </w:tc>
      </w:tr>
      <w:tr>
        <w:tc>
          <w:tcPr>
            <w:tcW w:type="dxa" w:w="2600"/>
            <w:tcMar>
              <w:top w:type="dxa" w:w="100"/>
              <w:left w:type="dxa" w:w="140"/>
              <w:bottom w:type="dxa" w:w="100"/>
              <w:right w:type="dxa" w:w="140"/>
            </w:tcMar>
            <w:vAlign w:val="center"/>
          </w:tcPr>
          <w:p>
            <w:pPr>
              <w:jc w:val="left"/>
            </w:pPr>
            <w:r>
              <w:rPr>
                <w:b w:val="false"/>
                <w:bCs w:val="false"/>
                <w:color w:val="222222"/>
                <w:sz w:val="19"/>
                <w:szCs w:val="19"/>
              </w:rPr>
              <w:t xml:space="preserve">Retrofit &amp; OkHttp</w:t>
            </w:r>
          </w:p>
        </w:tc>
        <w:tc>
          <w:tcPr>
            <w:tcW w:type="dxa" w:w="6200"/>
            <w:tcMar>
              <w:top w:type="dxa" w:w="100"/>
              <w:left w:type="dxa" w:w="140"/>
              <w:bottom w:type="dxa" w:w="100"/>
              <w:right w:type="dxa" w:w="140"/>
            </w:tcMar>
            <w:vAlign w:val="center"/>
          </w:tcPr>
          <w:p>
            <w:pPr>
              <w:jc w:val="left"/>
            </w:pPr>
            <w:r>
              <w:rPr>
                <w:b w:val="false"/>
                <w:bCs w:val="false"/>
                <w:color w:val="222222"/>
                <w:sz w:val="19"/>
                <w:szCs w:val="19"/>
              </w:rPr>
              <w:t xml:space="preserve">HTTP client used for REST API consumption (historical data pull).</w:t>
            </w:r>
          </w:p>
        </w:tc>
      </w:tr>
      <w:tr>
        <w:tc>
          <w:tcPr>
            <w:tcW w:type="dxa" w:w="2600"/>
            <w:tcMar>
              <w:top w:type="dxa" w:w="100"/>
              <w:left w:type="dxa" w:w="140"/>
              <w:bottom w:type="dxa" w:w="100"/>
              <w:right w:type="dxa" w:w="140"/>
            </w:tcMar>
            <w:vAlign w:val="center"/>
          </w:tcPr>
          <w:p>
            <w:pPr>
              <w:jc w:val="left"/>
            </w:pPr>
            <w:r>
              <w:rPr>
                <w:b w:val="false"/>
                <w:bCs w:val="false"/>
                <w:color w:val="222222"/>
                <w:sz w:val="19"/>
                <w:szCs w:val="19"/>
              </w:rPr>
              <w:t xml:space="preserve">AWS SDK &amp; Paho MQTT</w:t>
            </w:r>
          </w:p>
        </w:tc>
        <w:tc>
          <w:tcPr>
            <w:tcW w:type="dxa" w:w="6200"/>
            <w:tcMar>
              <w:top w:type="dxa" w:w="100"/>
              <w:left w:type="dxa" w:w="140"/>
              <w:bottom w:type="dxa" w:w="100"/>
              <w:right w:type="dxa" w:w="140"/>
            </w:tcMar>
            <w:vAlign w:val="center"/>
          </w:tcPr>
          <w:p>
            <w:pPr>
              <w:jc w:val="left"/>
            </w:pPr>
            <w:r>
              <w:rPr>
                <w:b w:val="false"/>
                <w:bCs w:val="false"/>
                <w:color w:val="222222"/>
                <w:sz w:val="19"/>
                <w:szCs w:val="19"/>
              </w:rPr>
              <w:t xml:space="preserve">Maintains live WebSocket/MQTT subscriptions for real-time updates.</w:t>
            </w:r>
          </w:p>
        </w:tc>
      </w:tr>
      <w:tr>
        <w:tc>
          <w:tcPr>
            <w:tcW w:type="dxa" w:w="2600"/>
            <w:tcMar>
              <w:top w:type="dxa" w:w="100"/>
              <w:left w:type="dxa" w:w="140"/>
              <w:bottom w:type="dxa" w:w="100"/>
              <w:right w:type="dxa" w:w="140"/>
            </w:tcMar>
            <w:vAlign w:val="center"/>
          </w:tcPr>
          <w:p>
            <w:pPr>
              <w:jc w:val="left"/>
            </w:pPr>
            <w:r>
              <w:rPr>
                <w:b w:val="false"/>
                <w:bCs w:val="false"/>
                <w:color w:val="222222"/>
                <w:sz w:val="19"/>
                <w:szCs w:val="19"/>
              </w:rPr>
              <w:t xml:space="preserve">MPAndroidChart</w:t>
            </w:r>
          </w:p>
        </w:tc>
        <w:tc>
          <w:tcPr>
            <w:tcW w:type="dxa" w:w="6200"/>
            <w:tcMar>
              <w:top w:type="dxa" w:w="100"/>
              <w:left w:type="dxa" w:w="140"/>
              <w:bottom w:type="dxa" w:w="100"/>
              <w:right w:type="dxa" w:w="140"/>
            </w:tcMar>
            <w:vAlign w:val="center"/>
          </w:tcPr>
          <w:p>
            <w:pPr>
              <w:jc w:val="left"/>
            </w:pPr>
            <w:r>
              <w:rPr>
                <w:b w:val="false"/>
                <w:bCs w:val="false"/>
                <w:color w:val="222222"/>
                <w:sz w:val="19"/>
                <w:szCs w:val="19"/>
              </w:rPr>
              <w:t xml:space="preserve">Renders dynamic, real-time line charts from incoming JSON telemetry.</w:t>
            </w:r>
          </w:p>
        </w:tc>
      </w:tr>
    </w:tbl>
    <w:p>
      <w:pPr>
        <w:pStyle w:val="Heading2"/>
        <w:spacing w:after="140" w:before="300"/>
      </w:pPr>
      <w:r>
        <w:rPr>
          <w:b/>
          <w:bCs/>
          <w:color w:val="1E2761"/>
          <w:sz w:val="24"/>
          <w:szCs w:val="24"/>
        </w:rPr>
        <w:t xml:space="preserve">12.3 UI Components and Core Pages</w:t>
      </w:r>
    </w:p>
    <w:tbl>
      <w:tblPr>
        <w:tblW w:type="dxa" w:w="8800"/>
        <w:tblBorders>
          <w:top w:val="single" w:color="C9D3E0" w:sz="4"/>
          <w:left w:val="single" w:color="C9D3E0" w:sz="4"/>
          <w:bottom w:val="single" w:color="C9D3E0" w:sz="4"/>
          <w:right w:val="single" w:color="C9D3E0" w:sz="4"/>
          <w:insideH w:val="single" w:color="C9D3E0" w:sz="4"/>
          <w:insideV w:val="single" w:color="C9D3E0" w:sz="4"/>
        </w:tblBorders>
      </w:tblPr>
      <w:tblGrid>
        <w:gridCol w:w="2600"/>
        <w:gridCol w:w="6200"/>
      </w:tblGrid>
      <w:tr>
        <w:trPr>
          <w:tblHeader/>
        </w:trPr>
        <w:tc>
          <w:tcPr>
            <w:tcW w:type="dxa" w:w="2600"/>
            <w:shd w:fill="1E2761" w:val="clear"/>
            <w:tcMar>
              <w:top w:type="dxa" w:w="100"/>
              <w:left w:type="dxa" w:w="140"/>
              <w:bottom w:type="dxa" w:w="100"/>
              <w:right w:type="dxa" w:w="140"/>
            </w:tcMar>
            <w:vAlign w:val="center"/>
          </w:tcPr>
          <w:p>
            <w:pPr>
              <w:jc w:val="left"/>
            </w:pPr>
            <w:r>
              <w:rPr>
                <w:b/>
                <w:bCs/>
                <w:color w:val="FFFFFF"/>
                <w:sz w:val="19"/>
                <w:szCs w:val="19"/>
              </w:rPr>
              <w:t xml:space="preserve">Page</w:t>
            </w:r>
          </w:p>
        </w:tc>
        <w:tc>
          <w:tcPr>
            <w:tcW w:type="dxa" w:w="6200"/>
            <w:shd w:fill="1E2761" w:val="clear"/>
            <w:tcMar>
              <w:top w:type="dxa" w:w="100"/>
              <w:left w:type="dxa" w:w="140"/>
              <w:bottom w:type="dxa" w:w="100"/>
              <w:right w:type="dxa" w:w="140"/>
            </w:tcMar>
            <w:vAlign w:val="center"/>
          </w:tcPr>
          <w:p>
            <w:pPr>
              <w:jc w:val="left"/>
            </w:pPr>
            <w:r>
              <w:rPr>
                <w:b/>
                <w:bCs/>
                <w:color w:val="FFFFFF"/>
                <w:sz w:val="19"/>
                <w:szCs w:val="19"/>
              </w:rPr>
              <w:t xml:space="preserve">Function</w:t>
            </w:r>
          </w:p>
        </w:tc>
      </w:tr>
      <w:tr>
        <w:tc>
          <w:tcPr>
            <w:tcW w:type="dxa" w:w="2600"/>
            <w:tcMar>
              <w:top w:type="dxa" w:w="100"/>
              <w:left w:type="dxa" w:w="140"/>
              <w:bottom w:type="dxa" w:w="100"/>
              <w:right w:type="dxa" w:w="140"/>
            </w:tcMar>
            <w:vAlign w:val="center"/>
          </w:tcPr>
          <w:p>
            <w:pPr>
              <w:jc w:val="left"/>
            </w:pPr>
            <w:r>
              <w:rPr>
                <w:b w:val="false"/>
                <w:bCs w:val="false"/>
                <w:color w:val="222222"/>
                <w:sz w:val="19"/>
                <w:szCs w:val="19"/>
              </w:rPr>
              <w:t xml:space="preserve">1. Device Discovery &amp; Fleet Status</w:t>
            </w:r>
          </w:p>
        </w:tc>
        <w:tc>
          <w:tcPr>
            <w:tcW w:type="dxa" w:w="6200"/>
            <w:tcMar>
              <w:top w:type="dxa" w:w="100"/>
              <w:left w:type="dxa" w:w="140"/>
              <w:bottom w:type="dxa" w:w="100"/>
              <w:right w:type="dxa" w:w="140"/>
            </w:tcMar>
            <w:vAlign w:val="center"/>
          </w:tcPr>
          <w:p>
            <w:pPr>
              <w:jc w:val="left"/>
            </w:pPr>
            <w:r>
              <w:rPr>
                <w:b w:val="false"/>
                <w:bCs w:val="false"/>
                <w:color w:val="222222"/>
                <w:sz w:val="19"/>
                <w:szCs w:val="19"/>
              </w:rPr>
              <w:t xml:space="preserve">Shows active/offline status of sensor nodes by querying DynamoDB through API Gateway.</w:t>
            </w:r>
          </w:p>
        </w:tc>
      </w:tr>
      <w:tr>
        <w:tc>
          <w:tcPr>
            <w:tcW w:type="dxa" w:w="2600"/>
            <w:tcMar>
              <w:top w:type="dxa" w:w="100"/>
              <w:left w:type="dxa" w:w="140"/>
              <w:bottom w:type="dxa" w:w="100"/>
              <w:right w:type="dxa" w:w="140"/>
            </w:tcMar>
            <w:vAlign w:val="center"/>
          </w:tcPr>
          <w:p>
            <w:pPr>
              <w:jc w:val="left"/>
            </w:pPr>
            <w:r>
              <w:rPr>
                <w:b w:val="false"/>
                <w:bCs w:val="false"/>
                <w:color w:val="222222"/>
                <w:sz w:val="19"/>
                <w:szCs w:val="19"/>
              </w:rPr>
              <w:t xml:space="preserve">2. Real-Time Visualization Dashboard</w:t>
            </w:r>
          </w:p>
        </w:tc>
        <w:tc>
          <w:tcPr>
            <w:tcW w:type="dxa" w:w="6200"/>
            <w:tcMar>
              <w:top w:type="dxa" w:w="100"/>
              <w:left w:type="dxa" w:w="140"/>
              <w:bottom w:type="dxa" w:w="100"/>
              <w:right w:type="dxa" w:w="140"/>
            </w:tcMar>
            <w:vAlign w:val="center"/>
          </w:tcPr>
          <w:p>
            <w:pPr>
              <w:jc w:val="left"/>
            </w:pPr>
            <w:r>
              <w:rPr>
                <w:b w:val="false"/>
                <w:bCs w:val="false"/>
                <w:color w:val="222222"/>
                <w:sz w:val="19"/>
                <w:szCs w:val="19"/>
              </w:rPr>
              <w:t xml:space="preserve">Connects to the AWS IoT MQTT broker via WebSockets/MQTT with Cognito authentication for live telemetry graphing.</w:t>
            </w:r>
          </w:p>
        </w:tc>
      </w:tr>
      <w:tr>
        <w:tc>
          <w:tcPr>
            <w:tcW w:type="dxa" w:w="2600"/>
            <w:tcMar>
              <w:top w:type="dxa" w:w="100"/>
              <w:left w:type="dxa" w:w="140"/>
              <w:bottom w:type="dxa" w:w="100"/>
              <w:right w:type="dxa" w:w="140"/>
            </w:tcMar>
            <w:vAlign w:val="center"/>
          </w:tcPr>
          <w:p>
            <w:pPr>
              <w:jc w:val="left"/>
            </w:pPr>
            <w:r>
              <w:rPr>
                <w:b w:val="false"/>
                <w:bCs w:val="false"/>
                <w:color w:val="222222"/>
                <w:sz w:val="19"/>
                <w:szCs w:val="19"/>
              </w:rPr>
              <w:t xml:space="preserve">3. Actuation / Control Page</w:t>
            </w:r>
          </w:p>
        </w:tc>
        <w:tc>
          <w:tcPr>
            <w:tcW w:type="dxa" w:w="6200"/>
            <w:tcMar>
              <w:top w:type="dxa" w:w="100"/>
              <w:left w:type="dxa" w:w="140"/>
              <w:bottom w:type="dxa" w:w="100"/>
              <w:right w:type="dxa" w:w="140"/>
            </w:tcMar>
            <w:vAlign w:val="center"/>
          </w:tcPr>
          <w:p>
            <w:pPr>
              <w:jc w:val="left"/>
            </w:pPr>
            <w:r>
              <w:rPr>
                <w:b w:val="false"/>
                <w:bCs w:val="false"/>
                <w:color w:val="222222"/>
                <w:sz w:val="19"/>
                <w:szCs w:val="19"/>
              </w:rPr>
              <w:t xml:space="preserve">Sends command packets (e.g., a fan/relay toggle) via AWS IoT Core down to the target BLE end device (e.g., the ESP32 node).</w:t>
            </w:r>
          </w:p>
        </w:tc>
      </w:tr>
    </w:tbl>
    <w:p>
      <w:pPr>
        <w:spacing w:after="80" w:before="120"/>
        <w:jc w:val="center"/>
      </w:pPr>
      <w:r>
        <w:drawing>
          <wp:inline distT="0" distB="0" distL="0" distR="0">
            <wp:extent cx="3048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48000" cy="2047875"/>
                    </a:xfrm>
                    <a:prstGeom prst="rect">
                      <a:avLst/>
                    </a:prstGeom>
                  </pic:spPr>
                </pic:pic>
              </a:graphicData>
            </a:graphic>
          </wp:inline>
        </w:drawing>
      </w:r>
    </w:p>
    <w:p>
      <w:pPr>
        <w:spacing w:after="220"/>
        <w:jc w:val="center"/>
      </w:pPr>
      <w:r>
        <w:rPr>
          <w:i/>
          <w:iCs/>
          <w:color w:val="5A6472"/>
          <w:sz w:val="18"/>
          <w:szCs w:val="18"/>
        </w:rPr>
        <w:t xml:space="preserve">Figure 9. Representative dashboard and device-control UI pattern (status cards, live toggle, and setpoint control) used as a styling reference for the Status Dashboard and Actuator Switch components; each team implements its own screens against the project's data model.</w:t>
      </w:r>
    </w:p>
    <w:p>
      <w:pPr>
        <w:pStyle w:val="Heading1"/>
        <w:pBdr>
          <w:bottom w:val="single" w:color="C9D3E0" w:sz="6" w:space="6"/>
        </w:pBdr>
        <w:spacing w:after="200" w:before="420"/>
      </w:pPr>
      <w:r>
        <w:rPr>
          <w:b/>
          <w:bCs/>
          <w:color w:val="1E2761"/>
          <w:sz w:val="30"/>
          <w:szCs w:val="30"/>
        </w:rPr>
        <w:t xml:space="preserve">13. End-to-End Data Flow and Hands-On Demo Walkthrough</w:t>
      </w:r>
    </w:p>
    <w:p>
      <w:pPr>
        <w:pStyle w:val="Heading2"/>
        <w:spacing w:after="140" w:before="300"/>
      </w:pPr>
      <w:r>
        <w:rPr>
          <w:b/>
          <w:bCs/>
          <w:color w:val="1E2761"/>
          <w:sz w:val="24"/>
          <w:szCs w:val="24"/>
        </w:rPr>
        <w:t xml:space="preserve">13.1 Implementation Blueprint</w:t>
      </w:r>
    </w:p>
    <w:p>
      <w:pPr>
        <w:pStyle w:val="ListParagraph"/>
        <w:numPr>
          <w:ilvl w:val="0"/>
          <w:numId w:val="2"/>
        </w:numPr>
        <w:spacing w:after="90" w:line="268"/>
      </w:pPr>
      <w:r>
        <w:rPr>
          <w:color w:val="222222"/>
          <w:sz w:val="21"/>
          <w:szCs w:val="21"/>
        </w:rPr>
        <w:t xml:space="preserve">Publish — the ESP32/BLE node captures data; the Gateway publishes it to the sensors/data MQTT topic.</w:t>
      </w:r>
    </w:p>
    <w:p>
      <w:pPr>
        <w:pStyle w:val="ListParagraph"/>
        <w:numPr>
          <w:ilvl w:val="0"/>
          <w:numId w:val="2"/>
        </w:numPr>
        <w:spacing w:after="90" w:line="268"/>
      </w:pPr>
      <w:r>
        <w:rPr>
          <w:color w:val="222222"/>
          <w:sz w:val="21"/>
          <w:szCs w:val="21"/>
        </w:rPr>
        <w:t xml:space="preserve">Process — the AWS IoT Core Rules Engine matches the message and triggers a Lambda function that updates DynamoDB.</w:t>
      </w:r>
    </w:p>
    <w:p>
      <w:pPr>
        <w:pStyle w:val="ListParagraph"/>
        <w:numPr>
          <w:ilvl w:val="0"/>
          <w:numId w:val="2"/>
        </w:numPr>
        <w:spacing w:after="90" w:line="268"/>
      </w:pPr>
      <w:r>
        <w:rPr>
          <w:color w:val="222222"/>
          <w:sz w:val="21"/>
          <w:szCs w:val="21"/>
        </w:rPr>
        <w:t xml:space="preserve">Display — the Android app fetches historical data via the REST API and listens for real-time updates over MQTT/WebSocket.</w:t>
      </w:r>
    </w:p>
    <w:p>
      <w:pPr>
        <w:pStyle w:val="Heading2"/>
        <w:spacing w:after="140" w:before="300"/>
      </w:pPr>
      <w:r>
        <w:rPr>
          <w:b/>
          <w:bCs/>
          <w:color w:val="1E2761"/>
          <w:sz w:val="24"/>
          <w:szCs w:val="24"/>
        </w:rPr>
        <w:t xml:space="preserve">13.2 Demo Setup Sequence</w:t>
      </w:r>
    </w:p>
    <w:p>
      <w:pPr>
        <w:pStyle w:val="ListParagraph"/>
        <w:numPr>
          <w:ilvl w:val="0"/>
          <w:numId w:val="3"/>
        </w:numPr>
        <w:spacing w:after="90" w:line="268"/>
      </w:pPr>
      <w:r>
        <w:rPr>
          <w:color w:val="222222"/>
          <w:sz w:val="21"/>
          <w:szCs w:val="21"/>
        </w:rPr>
        <w:t xml:space="preserve">Power on the ESP32 sensor node — a green LED indicates BLE advertising mode is active.</w:t>
      </w:r>
    </w:p>
    <w:p>
      <w:pPr>
        <w:pStyle w:val="ListParagraph"/>
        <w:numPr>
          <w:ilvl w:val="0"/>
          <w:numId w:val="3"/>
        </w:numPr>
        <w:spacing w:after="90" w:line="268"/>
      </w:pPr>
      <w:r>
        <w:rPr>
          <w:color w:val="222222"/>
          <w:sz w:val="21"/>
          <w:szCs w:val="21"/>
        </w:rPr>
        <w:t xml:space="preserve">Start the Gateway Python script — the Raspberry Pi connects, reads temperature data, and logs it to the console.</w:t>
      </w:r>
    </w:p>
    <w:p>
      <w:pPr>
        <w:pStyle w:val="ListParagraph"/>
        <w:numPr>
          <w:ilvl w:val="0"/>
          <w:numId w:val="3"/>
        </w:numPr>
        <w:spacing w:after="90" w:line="268"/>
      </w:pPr>
      <w:r>
        <w:rPr>
          <w:color w:val="222222"/>
          <w:sz w:val="21"/>
          <w:szCs w:val="21"/>
        </w:rPr>
        <w:t xml:space="preserve">Cloud verification — open the AWS IoT Console MQTT Test Client and subscribe to sensors/telemetry.</w:t>
      </w:r>
    </w:p>
    <w:p>
      <w:pPr>
        <w:pStyle w:val="ListParagraph"/>
        <w:numPr>
          <w:ilvl w:val="0"/>
          <w:numId w:val="3"/>
        </w:numPr>
        <w:spacing w:after="90" w:line="268"/>
      </w:pPr>
      <w:r>
        <w:rPr>
          <w:color w:val="222222"/>
          <w:sz w:val="21"/>
          <w:szCs w:val="21"/>
        </w:rPr>
        <w:t xml:space="preserve">Mobile display — open the Android app, verify live readings are updating, and tap “Control Switch” to toggle the relay/LED.</w:t>
      </w:r>
    </w:p>
    <w:p>
      <w:pPr>
        <w:pStyle w:val="Heading2"/>
        <w:spacing w:after="140" w:before="300"/>
      </w:pPr>
      <w:r>
        <w:rPr>
          <w:b/>
          <w:bCs/>
          <w:color w:val="1E2761"/>
          <w:sz w:val="24"/>
          <w:szCs w:val="24"/>
        </w:rPr>
        <w:t xml:space="preserve">13.3 Phased System Bring-Up (Week 7 Summary)</w:t>
      </w:r>
    </w:p>
    <w:tbl>
      <w:tblPr>
        <w:tblW w:type="dxa" w:w="8800"/>
        <w:tblBorders>
          <w:top w:val="single" w:color="C9D3E0" w:sz="4"/>
          <w:left w:val="single" w:color="C9D3E0" w:sz="4"/>
          <w:bottom w:val="single" w:color="C9D3E0" w:sz="4"/>
          <w:right w:val="single" w:color="C9D3E0" w:sz="4"/>
          <w:insideH w:val="single" w:color="C9D3E0" w:sz="4"/>
          <w:insideV w:val="single" w:color="C9D3E0" w:sz="4"/>
        </w:tblBorders>
      </w:tblPr>
      <w:tblGrid>
        <w:gridCol w:w="1000"/>
        <w:gridCol w:w="2400"/>
        <w:gridCol w:w="5400"/>
      </w:tblGrid>
      <w:tr>
        <w:trPr>
          <w:tblHeader/>
        </w:trPr>
        <w:tc>
          <w:tcPr>
            <w:tcW w:type="dxa" w:w="1000"/>
            <w:shd w:fill="1E2761" w:val="clear"/>
            <w:tcMar>
              <w:top w:type="dxa" w:w="100"/>
              <w:left w:type="dxa" w:w="140"/>
              <w:bottom w:type="dxa" w:w="100"/>
              <w:right w:type="dxa" w:w="140"/>
            </w:tcMar>
            <w:vAlign w:val="center"/>
          </w:tcPr>
          <w:p>
            <w:pPr>
              <w:jc w:val="left"/>
            </w:pPr>
            <w:r>
              <w:rPr>
                <w:b/>
                <w:bCs/>
                <w:color w:val="FFFFFF"/>
                <w:sz w:val="19"/>
                <w:szCs w:val="19"/>
              </w:rPr>
              <w:t xml:space="preserve">Phase</w:t>
            </w:r>
          </w:p>
        </w:tc>
        <w:tc>
          <w:tcPr>
            <w:tcW w:type="dxa" w:w="2400"/>
            <w:shd w:fill="1E2761" w:val="clear"/>
            <w:tcMar>
              <w:top w:type="dxa" w:w="100"/>
              <w:left w:type="dxa" w:w="140"/>
              <w:bottom w:type="dxa" w:w="100"/>
              <w:right w:type="dxa" w:w="140"/>
            </w:tcMar>
            <w:vAlign w:val="center"/>
          </w:tcPr>
          <w:p>
            <w:pPr>
              <w:jc w:val="left"/>
            </w:pPr>
            <w:r>
              <w:rPr>
                <w:b/>
                <w:bCs/>
                <w:color w:val="FFFFFF"/>
                <w:sz w:val="19"/>
                <w:szCs w:val="19"/>
              </w:rPr>
              <w:t xml:space="preserve">Focus</w:t>
            </w:r>
          </w:p>
        </w:tc>
        <w:tc>
          <w:tcPr>
            <w:tcW w:type="dxa" w:w="5400"/>
            <w:shd w:fill="1E2761" w:val="clear"/>
            <w:tcMar>
              <w:top w:type="dxa" w:w="100"/>
              <w:left w:type="dxa" w:w="140"/>
              <w:bottom w:type="dxa" w:w="100"/>
              <w:right w:type="dxa" w:w="140"/>
            </w:tcMar>
            <w:vAlign w:val="center"/>
          </w:tcPr>
          <w:p>
            <w:pPr>
              <w:jc w:val="left"/>
            </w:pPr>
            <w:r>
              <w:rPr>
                <w:b/>
                <w:bCs/>
                <w:color w:val="FFFFFF"/>
                <w:sz w:val="19"/>
                <w:szCs w:val="19"/>
              </w:rPr>
              <w:t xml:space="preserve">Verification</w:t>
            </w:r>
          </w:p>
        </w:tc>
      </w:tr>
      <w:tr>
        <w:tc>
          <w:tcPr>
            <w:tcW w:type="dxa" w:w="1000"/>
            <w:tcMar>
              <w:top w:type="dxa" w:w="100"/>
              <w:left w:type="dxa" w:w="140"/>
              <w:bottom w:type="dxa" w:w="100"/>
              <w:right w:type="dxa" w:w="140"/>
            </w:tcMar>
            <w:vAlign w:val="center"/>
          </w:tcPr>
          <w:p>
            <w:pPr>
              <w:jc w:val="left"/>
            </w:pPr>
            <w:r>
              <w:rPr>
                <w:b w:val="false"/>
                <w:bCs w:val="false"/>
                <w:color w:val="222222"/>
                <w:sz w:val="19"/>
                <w:szCs w:val="19"/>
              </w:rPr>
              <w:t xml:space="preserve">1</w:t>
            </w:r>
          </w:p>
        </w:tc>
        <w:tc>
          <w:tcPr>
            <w:tcW w:type="dxa" w:w="2400"/>
            <w:tcMar>
              <w:top w:type="dxa" w:w="100"/>
              <w:left w:type="dxa" w:w="140"/>
              <w:bottom w:type="dxa" w:w="100"/>
              <w:right w:type="dxa" w:w="140"/>
            </w:tcMar>
            <w:vAlign w:val="center"/>
          </w:tcPr>
          <w:p>
            <w:pPr>
              <w:jc w:val="left"/>
            </w:pPr>
            <w:r>
              <w:rPr>
                <w:b w:val="false"/>
                <w:bCs w:val="false"/>
                <w:color w:val="222222"/>
                <w:sz w:val="19"/>
                <w:szCs w:val="19"/>
              </w:rPr>
              <w:t xml:space="preserve">Hardware &amp; BLE</w:t>
            </w:r>
          </w:p>
        </w:tc>
        <w:tc>
          <w:tcPr>
            <w:tcW w:type="dxa" w:w="5400"/>
            <w:tcMar>
              <w:top w:type="dxa" w:w="100"/>
              <w:left w:type="dxa" w:w="140"/>
              <w:bottom w:type="dxa" w:w="100"/>
              <w:right w:type="dxa" w:w="140"/>
            </w:tcMar>
            <w:vAlign w:val="center"/>
          </w:tcPr>
          <w:p>
            <w:pPr>
              <w:jc w:val="left"/>
            </w:pPr>
            <w:r>
              <w:rPr>
                <w:b w:val="false"/>
                <w:bCs w:val="false"/>
                <w:color w:val="222222"/>
                <w:sz w:val="19"/>
                <w:szCs w:val="19"/>
              </w:rPr>
              <w:t xml:space="preserve">Power on the ESP32 node; confirm BLE advertising using a mobile scanning tool such as nRF Connect.</w:t>
            </w:r>
          </w:p>
        </w:tc>
      </w:tr>
      <w:tr>
        <w:tc>
          <w:tcPr>
            <w:tcW w:type="dxa" w:w="1000"/>
            <w:tcMar>
              <w:top w:type="dxa" w:w="100"/>
              <w:left w:type="dxa" w:w="140"/>
              <w:bottom w:type="dxa" w:w="100"/>
              <w:right w:type="dxa" w:w="140"/>
            </w:tcMar>
            <w:vAlign w:val="center"/>
          </w:tcPr>
          <w:p>
            <w:pPr>
              <w:jc w:val="left"/>
            </w:pPr>
            <w:r>
              <w:rPr>
                <w:b w:val="false"/>
                <w:bCs w:val="false"/>
                <w:color w:val="222222"/>
                <w:sz w:val="19"/>
                <w:szCs w:val="19"/>
              </w:rPr>
              <w:t xml:space="preserve">2</w:t>
            </w:r>
          </w:p>
        </w:tc>
        <w:tc>
          <w:tcPr>
            <w:tcW w:type="dxa" w:w="2400"/>
            <w:tcMar>
              <w:top w:type="dxa" w:w="100"/>
              <w:left w:type="dxa" w:w="140"/>
              <w:bottom w:type="dxa" w:w="100"/>
              <w:right w:type="dxa" w:w="140"/>
            </w:tcMar>
            <w:vAlign w:val="center"/>
          </w:tcPr>
          <w:p>
            <w:pPr>
              <w:jc w:val="left"/>
            </w:pPr>
            <w:r>
              <w:rPr>
                <w:b w:val="false"/>
                <w:bCs w:val="false"/>
                <w:color w:val="222222"/>
                <w:sz w:val="19"/>
                <w:szCs w:val="19"/>
              </w:rPr>
              <w:t xml:space="preserve">Gateway Ingestion</w:t>
            </w:r>
          </w:p>
        </w:tc>
        <w:tc>
          <w:tcPr>
            <w:tcW w:type="dxa" w:w="5400"/>
            <w:tcMar>
              <w:top w:type="dxa" w:w="100"/>
              <w:left w:type="dxa" w:w="140"/>
              <w:bottom w:type="dxa" w:w="100"/>
              <w:right w:type="dxa" w:w="140"/>
            </w:tcMar>
            <w:vAlign w:val="center"/>
          </w:tcPr>
          <w:p>
            <w:pPr>
              <w:jc w:val="left"/>
            </w:pPr>
            <w:r>
              <w:rPr>
                <w:b w:val="false"/>
                <w:bCs w:val="false"/>
                <w:color w:val="222222"/>
                <w:sz w:val="19"/>
                <w:szCs w:val="19"/>
              </w:rPr>
              <w:t xml:space="preserve">Run the gateway script on the Raspberry Pi; verify console logs show incoming BLE GATT data.</w:t>
            </w:r>
          </w:p>
        </w:tc>
      </w:tr>
      <w:tr>
        <w:tc>
          <w:tcPr>
            <w:tcW w:type="dxa" w:w="1000"/>
            <w:tcMar>
              <w:top w:type="dxa" w:w="100"/>
              <w:left w:type="dxa" w:w="140"/>
              <w:bottom w:type="dxa" w:w="100"/>
              <w:right w:type="dxa" w:w="140"/>
            </w:tcMar>
            <w:vAlign w:val="center"/>
          </w:tcPr>
          <w:p>
            <w:pPr>
              <w:jc w:val="left"/>
            </w:pPr>
            <w:r>
              <w:rPr>
                <w:b w:val="false"/>
                <w:bCs w:val="false"/>
                <w:color w:val="222222"/>
                <w:sz w:val="19"/>
                <w:szCs w:val="19"/>
              </w:rPr>
              <w:t xml:space="preserve">3</w:t>
            </w:r>
          </w:p>
        </w:tc>
        <w:tc>
          <w:tcPr>
            <w:tcW w:type="dxa" w:w="2400"/>
            <w:tcMar>
              <w:top w:type="dxa" w:w="100"/>
              <w:left w:type="dxa" w:w="140"/>
              <w:bottom w:type="dxa" w:w="100"/>
              <w:right w:type="dxa" w:w="140"/>
            </w:tcMar>
            <w:vAlign w:val="center"/>
          </w:tcPr>
          <w:p>
            <w:pPr>
              <w:jc w:val="left"/>
            </w:pPr>
            <w:r>
              <w:rPr>
                <w:b w:val="false"/>
                <w:bCs w:val="false"/>
                <w:color w:val="222222"/>
                <w:sz w:val="19"/>
                <w:szCs w:val="19"/>
              </w:rPr>
              <w:t xml:space="preserve">AWS Cloud</w:t>
            </w:r>
          </w:p>
        </w:tc>
        <w:tc>
          <w:tcPr>
            <w:tcW w:type="dxa" w:w="5400"/>
            <w:tcMar>
              <w:top w:type="dxa" w:w="100"/>
              <w:left w:type="dxa" w:w="140"/>
              <w:bottom w:type="dxa" w:w="100"/>
              <w:right w:type="dxa" w:w="140"/>
            </w:tcMar>
            <w:vAlign w:val="center"/>
          </w:tcPr>
          <w:p>
            <w:pPr>
              <w:jc w:val="left"/>
            </w:pPr>
            <w:r>
              <w:rPr>
                <w:b w:val="false"/>
                <w:bCs w:val="false"/>
                <w:color w:val="222222"/>
                <w:sz w:val="19"/>
                <w:szCs w:val="19"/>
              </w:rPr>
              <w:t xml:space="preserve">Subscribe to tech300/# on the MQTT Test Client for JSON telemetry; confirm DynamoDB tables append with timestamps.</w:t>
            </w:r>
          </w:p>
        </w:tc>
      </w:tr>
      <w:tr>
        <w:tc>
          <w:tcPr>
            <w:tcW w:type="dxa" w:w="1000"/>
            <w:tcMar>
              <w:top w:type="dxa" w:w="100"/>
              <w:left w:type="dxa" w:w="140"/>
              <w:bottom w:type="dxa" w:w="100"/>
              <w:right w:type="dxa" w:w="140"/>
            </w:tcMar>
            <w:vAlign w:val="center"/>
          </w:tcPr>
          <w:p>
            <w:pPr>
              <w:jc w:val="left"/>
            </w:pPr>
            <w:r>
              <w:rPr>
                <w:b w:val="false"/>
                <w:bCs w:val="false"/>
                <w:color w:val="222222"/>
                <w:sz w:val="19"/>
                <w:szCs w:val="19"/>
              </w:rPr>
              <w:t xml:space="preserve">4</w:t>
            </w:r>
          </w:p>
        </w:tc>
        <w:tc>
          <w:tcPr>
            <w:tcW w:type="dxa" w:w="2400"/>
            <w:tcMar>
              <w:top w:type="dxa" w:w="100"/>
              <w:left w:type="dxa" w:w="140"/>
              <w:bottom w:type="dxa" w:w="100"/>
              <w:right w:type="dxa" w:w="140"/>
            </w:tcMar>
            <w:vAlign w:val="center"/>
          </w:tcPr>
          <w:p>
            <w:pPr>
              <w:jc w:val="left"/>
            </w:pPr>
            <w:r>
              <w:rPr>
                <w:b w:val="false"/>
                <w:bCs w:val="false"/>
                <w:color w:val="222222"/>
                <w:sz w:val="19"/>
                <w:szCs w:val="19"/>
              </w:rPr>
              <w:t xml:space="preserve">Mobile App</w:t>
            </w:r>
          </w:p>
        </w:tc>
        <w:tc>
          <w:tcPr>
            <w:tcW w:type="dxa" w:w="5400"/>
            <w:tcMar>
              <w:top w:type="dxa" w:w="100"/>
              <w:left w:type="dxa" w:w="140"/>
              <w:bottom w:type="dxa" w:w="100"/>
              <w:right w:type="dxa" w:w="140"/>
            </w:tcMar>
            <w:vAlign w:val="center"/>
          </w:tcPr>
          <w:p>
            <w:pPr>
              <w:jc w:val="left"/>
            </w:pPr>
            <w:r>
              <w:rPr>
                <w:b w:val="false"/>
                <w:bCs w:val="false"/>
                <w:color w:val="222222"/>
                <w:sz w:val="19"/>
                <w:szCs w:val="19"/>
              </w:rPr>
              <w:t xml:space="preserve">Launch the Android app to confirm live chart plotting; toggle the relay to confirm the hardware LED state updates instantly.</w:t>
            </w:r>
          </w:p>
        </w:tc>
      </w:tr>
    </w:tbl>
    <w:p>
      <w:pPr>
        <w:pStyle w:val="Heading1"/>
        <w:pBdr>
          <w:bottom w:val="single" w:color="C9D3E0" w:sz="6" w:space="6"/>
        </w:pBdr>
        <w:spacing w:after="200" w:before="420"/>
      </w:pPr>
      <w:r>
        <w:rPr>
          <w:b/>
          <w:bCs/>
          <w:color w:val="1E2761"/>
          <w:sz w:val="30"/>
          <w:szCs w:val="30"/>
        </w:rPr>
        <w:t xml:space="preserve">14. Consolidated Bill of Materials</w:t>
      </w:r>
    </w:p>
    <w:tbl>
      <w:tblPr>
        <w:tblW w:type="dxa" w:w="8900"/>
        <w:tblBorders>
          <w:top w:val="single" w:color="C9D3E0" w:sz="4"/>
          <w:left w:val="single" w:color="C9D3E0" w:sz="4"/>
          <w:bottom w:val="single" w:color="C9D3E0" w:sz="4"/>
          <w:right w:val="single" w:color="C9D3E0" w:sz="4"/>
          <w:insideH w:val="single" w:color="C9D3E0" w:sz="4"/>
          <w:insideV w:val="single" w:color="C9D3E0" w:sz="4"/>
        </w:tblBorders>
      </w:tblPr>
      <w:tblGrid>
        <w:gridCol w:w="2200"/>
        <w:gridCol w:w="3600"/>
        <w:gridCol w:w="3100"/>
      </w:tblGrid>
      <w:tr>
        <w:trPr>
          <w:tblHeader/>
        </w:trPr>
        <w:tc>
          <w:tcPr>
            <w:tcW w:type="dxa" w:w="2200"/>
            <w:shd w:fill="1E2761" w:val="clear"/>
            <w:tcMar>
              <w:top w:type="dxa" w:w="100"/>
              <w:left w:type="dxa" w:w="140"/>
              <w:bottom w:type="dxa" w:w="100"/>
              <w:right w:type="dxa" w:w="140"/>
            </w:tcMar>
            <w:vAlign w:val="center"/>
          </w:tcPr>
          <w:p>
            <w:pPr>
              <w:jc w:val="left"/>
            </w:pPr>
            <w:r>
              <w:rPr>
                <w:b/>
                <w:bCs/>
                <w:color w:val="FFFFFF"/>
                <w:sz w:val="19"/>
                <w:szCs w:val="19"/>
              </w:rPr>
              <w:t xml:space="preserve">Category</w:t>
            </w:r>
          </w:p>
        </w:tc>
        <w:tc>
          <w:tcPr>
            <w:tcW w:type="dxa" w:w="3600"/>
            <w:shd w:fill="1E2761" w:val="clear"/>
            <w:tcMar>
              <w:top w:type="dxa" w:w="100"/>
              <w:left w:type="dxa" w:w="140"/>
              <w:bottom w:type="dxa" w:w="100"/>
              <w:right w:type="dxa" w:w="140"/>
            </w:tcMar>
            <w:vAlign w:val="center"/>
          </w:tcPr>
          <w:p>
            <w:pPr>
              <w:jc w:val="left"/>
            </w:pPr>
            <w:r>
              <w:rPr>
                <w:b/>
                <w:bCs/>
                <w:color w:val="FFFFFF"/>
                <w:sz w:val="19"/>
                <w:szCs w:val="19"/>
              </w:rPr>
              <w:t xml:space="preserve">Item(s)</w:t>
            </w:r>
          </w:p>
        </w:tc>
        <w:tc>
          <w:tcPr>
            <w:tcW w:type="dxa" w:w="3100"/>
            <w:shd w:fill="1E2761" w:val="clear"/>
            <w:tcMar>
              <w:top w:type="dxa" w:w="100"/>
              <w:left w:type="dxa" w:w="140"/>
              <w:bottom w:type="dxa" w:w="100"/>
              <w:right w:type="dxa" w:w="140"/>
            </w:tcMar>
            <w:vAlign w:val="center"/>
          </w:tcPr>
          <w:p>
            <w:pPr>
              <w:jc w:val="left"/>
            </w:pPr>
            <w:r>
              <w:rPr>
                <w:b/>
                <w:bCs/>
                <w:color w:val="FFFFFF"/>
                <w:sz w:val="19"/>
                <w:szCs w:val="19"/>
              </w:rPr>
              <w:t xml:space="preserve">Purpose</w:t>
            </w:r>
          </w:p>
        </w:tc>
      </w:tr>
      <w:tr>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End-device MCU</w:t>
            </w:r>
          </w:p>
        </w:tc>
        <w:tc>
          <w:tcPr>
            <w:tcW w:type="dxa" w:w="3600"/>
            <w:tcMar>
              <w:top w:type="dxa" w:w="100"/>
              <w:left w:type="dxa" w:w="140"/>
              <w:bottom w:type="dxa" w:w="100"/>
              <w:right w:type="dxa" w:w="140"/>
            </w:tcMar>
            <w:vAlign w:val="center"/>
          </w:tcPr>
          <w:p>
            <w:pPr>
              <w:jc w:val="left"/>
            </w:pPr>
            <w:r>
              <w:rPr>
                <w:b w:val="false"/>
                <w:bCs w:val="false"/>
                <w:color w:val="222222"/>
                <w:sz w:val="19"/>
                <w:szCs w:val="19"/>
              </w:rPr>
              <w:t xml:space="preserve">ESP32-WROOM-32 or Nordic nRF52840</w:t>
            </w:r>
          </w:p>
        </w:tc>
        <w:tc>
          <w:tcPr>
            <w:tcW w:type="dxa" w:w="3100"/>
            <w:tcMar>
              <w:top w:type="dxa" w:w="100"/>
              <w:left w:type="dxa" w:w="140"/>
              <w:bottom w:type="dxa" w:w="100"/>
              <w:right w:type="dxa" w:w="140"/>
            </w:tcMar>
            <w:vAlign w:val="center"/>
          </w:tcPr>
          <w:p>
            <w:pPr>
              <w:jc w:val="left"/>
            </w:pPr>
            <w:r>
              <w:rPr>
                <w:b w:val="false"/>
                <w:bCs w:val="false"/>
                <w:color w:val="222222"/>
                <w:sz w:val="19"/>
                <w:szCs w:val="19"/>
              </w:rPr>
              <w:t xml:space="preserve">Sensor node compute + BLE 5.0 radio.</w:t>
            </w:r>
          </w:p>
        </w:tc>
      </w:tr>
      <w:tr>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Environmental sensor</w:t>
            </w:r>
          </w:p>
        </w:tc>
        <w:tc>
          <w:tcPr>
            <w:tcW w:type="dxa" w:w="3600"/>
            <w:tcMar>
              <w:top w:type="dxa" w:w="100"/>
              <w:left w:type="dxa" w:w="140"/>
              <w:bottom w:type="dxa" w:w="100"/>
              <w:right w:type="dxa" w:w="140"/>
            </w:tcMar>
            <w:vAlign w:val="center"/>
          </w:tcPr>
          <w:p>
            <w:pPr>
              <w:jc w:val="left"/>
            </w:pPr>
            <w:r>
              <w:rPr>
                <w:b w:val="false"/>
                <w:bCs w:val="false"/>
                <w:color w:val="222222"/>
                <w:sz w:val="19"/>
                <w:szCs w:val="19"/>
              </w:rPr>
              <w:t xml:space="preserve">DHT22 / BME280</w:t>
            </w:r>
          </w:p>
        </w:tc>
        <w:tc>
          <w:tcPr>
            <w:tcW w:type="dxa" w:w="3100"/>
            <w:tcMar>
              <w:top w:type="dxa" w:w="100"/>
              <w:left w:type="dxa" w:w="140"/>
              <w:bottom w:type="dxa" w:w="100"/>
              <w:right w:type="dxa" w:w="140"/>
            </w:tcMar>
            <w:vAlign w:val="center"/>
          </w:tcPr>
          <w:p>
            <w:pPr>
              <w:jc w:val="left"/>
            </w:pPr>
            <w:r>
              <w:rPr>
                <w:b w:val="false"/>
                <w:bCs w:val="false"/>
                <w:color w:val="222222"/>
                <w:sz w:val="19"/>
                <w:szCs w:val="19"/>
              </w:rPr>
              <w:t xml:space="preserve">Temperature, humidity, pressure.</w:t>
            </w:r>
          </w:p>
        </w:tc>
      </w:tr>
      <w:tr>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Motion sensor</w:t>
            </w:r>
          </w:p>
        </w:tc>
        <w:tc>
          <w:tcPr>
            <w:tcW w:type="dxa" w:w="3600"/>
            <w:tcMar>
              <w:top w:type="dxa" w:w="100"/>
              <w:left w:type="dxa" w:w="140"/>
              <w:bottom w:type="dxa" w:w="100"/>
              <w:right w:type="dxa" w:w="140"/>
            </w:tcMar>
            <w:vAlign w:val="center"/>
          </w:tcPr>
          <w:p>
            <w:pPr>
              <w:jc w:val="left"/>
            </w:pPr>
            <w:r>
              <w:rPr>
                <w:b w:val="false"/>
                <w:bCs w:val="false"/>
                <w:color w:val="222222"/>
                <w:sz w:val="19"/>
                <w:szCs w:val="19"/>
              </w:rPr>
              <w:t xml:space="preserve">LSM6DSV16X / MPU6050</w:t>
            </w:r>
          </w:p>
        </w:tc>
        <w:tc>
          <w:tcPr>
            <w:tcW w:type="dxa" w:w="3100"/>
            <w:tcMar>
              <w:top w:type="dxa" w:w="100"/>
              <w:left w:type="dxa" w:w="140"/>
              <w:bottom w:type="dxa" w:w="100"/>
              <w:right w:type="dxa" w:w="140"/>
            </w:tcMar>
            <w:vAlign w:val="center"/>
          </w:tcPr>
          <w:p>
            <w:pPr>
              <w:jc w:val="left"/>
            </w:pPr>
            <w:r>
              <w:rPr>
                <w:b w:val="false"/>
                <w:bCs w:val="false"/>
                <w:color w:val="222222"/>
                <w:sz w:val="19"/>
                <w:szCs w:val="19"/>
              </w:rPr>
              <w:t xml:space="preserve">Motion / vibration detection.</w:t>
            </w:r>
          </w:p>
        </w:tc>
      </w:tr>
      <w:tr>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End-device power</w:t>
            </w:r>
          </w:p>
        </w:tc>
        <w:tc>
          <w:tcPr>
            <w:tcW w:type="dxa" w:w="3600"/>
            <w:tcMar>
              <w:top w:type="dxa" w:w="100"/>
              <w:left w:type="dxa" w:w="140"/>
              <w:bottom w:type="dxa" w:w="100"/>
              <w:right w:type="dxa" w:w="140"/>
            </w:tcMar>
            <w:vAlign w:val="center"/>
          </w:tcPr>
          <w:p>
            <w:pPr>
              <w:jc w:val="left"/>
            </w:pPr>
            <w:r>
              <w:rPr>
                <w:b w:val="false"/>
                <w:bCs w:val="false"/>
                <w:color w:val="222222"/>
                <w:sz w:val="19"/>
                <w:szCs w:val="19"/>
              </w:rPr>
              <w:t xml:space="preserve">3.7V LiPo + TP4056, or CR2032</w:t>
            </w:r>
          </w:p>
        </w:tc>
        <w:tc>
          <w:tcPr>
            <w:tcW w:type="dxa" w:w="3100"/>
            <w:tcMar>
              <w:top w:type="dxa" w:w="100"/>
              <w:left w:type="dxa" w:w="140"/>
              <w:bottom w:type="dxa" w:w="100"/>
              <w:right w:type="dxa" w:w="140"/>
            </w:tcMar>
            <w:vAlign w:val="center"/>
          </w:tcPr>
          <w:p>
            <w:pPr>
              <w:jc w:val="left"/>
            </w:pPr>
            <w:r>
              <w:rPr>
                <w:b w:val="false"/>
                <w:bCs w:val="false"/>
                <w:color w:val="222222"/>
                <w:sz w:val="19"/>
                <w:szCs w:val="19"/>
              </w:rPr>
              <w:t xml:space="preserve">Multi-month battery operation under deep-sleep duty cycling.</w:t>
            </w:r>
          </w:p>
        </w:tc>
      </w:tr>
      <w:tr>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Gateway hardware</w:t>
            </w:r>
          </w:p>
        </w:tc>
        <w:tc>
          <w:tcPr>
            <w:tcW w:type="dxa" w:w="3600"/>
            <w:tcMar>
              <w:top w:type="dxa" w:w="100"/>
              <w:left w:type="dxa" w:w="140"/>
              <w:bottom w:type="dxa" w:w="100"/>
              <w:right w:type="dxa" w:w="140"/>
            </w:tcMar>
            <w:vAlign w:val="center"/>
          </w:tcPr>
          <w:p>
            <w:pPr>
              <w:jc w:val="left"/>
            </w:pPr>
            <w:r>
              <w:rPr>
                <w:b w:val="false"/>
                <w:bCs w:val="false"/>
                <w:color w:val="222222"/>
                <w:sz w:val="19"/>
                <w:szCs w:val="19"/>
              </w:rPr>
              <w:t xml:space="preserve">Raspberry Pi 4 Model B (4GB), or Advantech UNO-220</w:t>
            </w:r>
          </w:p>
        </w:tc>
        <w:tc>
          <w:tcPr>
            <w:tcW w:type="dxa" w:w="3100"/>
            <w:tcMar>
              <w:top w:type="dxa" w:w="100"/>
              <w:left w:type="dxa" w:w="140"/>
              <w:bottom w:type="dxa" w:w="100"/>
              <w:right w:type="dxa" w:w="140"/>
            </w:tcMar>
            <w:vAlign w:val="center"/>
          </w:tcPr>
          <w:p>
            <w:pPr>
              <w:jc w:val="left"/>
            </w:pPr>
            <w:r>
              <w:rPr>
                <w:b w:val="false"/>
                <w:bCs w:val="false"/>
                <w:color w:val="222222"/>
                <w:sz w:val="19"/>
                <w:szCs w:val="19"/>
              </w:rPr>
              <w:t xml:space="preserve">Southbound BLE / Northbound MQTT protocol bridge.</w:t>
            </w:r>
          </w:p>
        </w:tc>
      </w:tr>
      <w:tr>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Gateway OS</w:t>
            </w:r>
          </w:p>
        </w:tc>
        <w:tc>
          <w:tcPr>
            <w:tcW w:type="dxa" w:w="3600"/>
            <w:tcMar>
              <w:top w:type="dxa" w:w="100"/>
              <w:left w:type="dxa" w:w="140"/>
              <w:bottom w:type="dxa" w:w="100"/>
              <w:right w:type="dxa" w:w="140"/>
            </w:tcMar>
            <w:vAlign w:val="center"/>
          </w:tcPr>
          <w:p>
            <w:pPr>
              <w:jc w:val="left"/>
            </w:pPr>
            <w:r>
              <w:rPr>
                <w:b w:val="false"/>
                <w:bCs w:val="false"/>
                <w:color w:val="222222"/>
                <w:sz w:val="19"/>
                <w:szCs w:val="19"/>
              </w:rPr>
              <w:t xml:space="preserve">Raspberry Pi OS Lite (64-bit) or Ubuntu Server 22.04 LTS</w:t>
            </w:r>
          </w:p>
        </w:tc>
        <w:tc>
          <w:tcPr>
            <w:tcW w:type="dxa" w:w="3100"/>
            <w:tcMar>
              <w:top w:type="dxa" w:w="100"/>
              <w:left w:type="dxa" w:w="140"/>
              <w:bottom w:type="dxa" w:w="100"/>
              <w:right w:type="dxa" w:w="140"/>
            </w:tcMar>
            <w:vAlign w:val="center"/>
          </w:tcPr>
          <w:p>
            <w:pPr>
              <w:jc w:val="left"/>
            </w:pPr>
            <w:r>
              <w:rPr>
                <w:b w:val="false"/>
                <w:bCs w:val="false"/>
                <w:color w:val="222222"/>
                <w:sz w:val="19"/>
                <w:szCs w:val="19"/>
              </w:rPr>
              <w:t xml:space="preserve">Headless gateway runtime.</w:t>
            </w:r>
          </w:p>
        </w:tc>
      </w:tr>
      <w:tr>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Gateway software</w:t>
            </w:r>
          </w:p>
        </w:tc>
        <w:tc>
          <w:tcPr>
            <w:tcW w:type="dxa" w:w="3600"/>
            <w:tcMar>
              <w:top w:type="dxa" w:w="100"/>
              <w:left w:type="dxa" w:w="140"/>
              <w:bottom w:type="dxa" w:w="100"/>
              <w:right w:type="dxa" w:w="140"/>
            </w:tcMar>
            <w:vAlign w:val="center"/>
          </w:tcPr>
          <w:p>
            <w:pPr>
              <w:jc w:val="left"/>
            </w:pPr>
            <w:r>
              <w:rPr>
                <w:b w:val="false"/>
                <w:bCs w:val="false"/>
                <w:color w:val="222222"/>
                <w:sz w:val="19"/>
                <w:szCs w:val="19"/>
              </w:rPr>
              <w:t xml:space="preserve">Python, bleak, paho-mqtt (optionally AWS IoT Greengrass v2)</w:t>
            </w:r>
          </w:p>
        </w:tc>
        <w:tc>
          <w:tcPr>
            <w:tcW w:type="dxa" w:w="3100"/>
            <w:tcMar>
              <w:top w:type="dxa" w:w="100"/>
              <w:left w:type="dxa" w:w="140"/>
              <w:bottom w:type="dxa" w:w="100"/>
              <w:right w:type="dxa" w:w="140"/>
            </w:tcMar>
            <w:vAlign w:val="center"/>
          </w:tcPr>
          <w:p>
            <w:pPr>
              <w:jc w:val="left"/>
            </w:pPr>
            <w:r>
              <w:rPr>
                <w:b w:val="false"/>
                <w:bCs w:val="false"/>
                <w:color w:val="222222"/>
                <w:sz w:val="19"/>
                <w:szCs w:val="19"/>
              </w:rPr>
              <w:t xml:space="preserve">BLE ingestion and MQTT publication.</w:t>
            </w:r>
          </w:p>
        </w:tc>
      </w:tr>
      <w:tr>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Cloud platform</w:t>
            </w:r>
          </w:p>
        </w:tc>
        <w:tc>
          <w:tcPr>
            <w:tcW w:type="dxa" w:w="3600"/>
            <w:tcMar>
              <w:top w:type="dxa" w:w="100"/>
              <w:left w:type="dxa" w:w="140"/>
              <w:bottom w:type="dxa" w:w="100"/>
              <w:right w:type="dxa" w:w="140"/>
            </w:tcMar>
            <w:vAlign w:val="center"/>
          </w:tcPr>
          <w:p>
            <w:pPr>
              <w:jc w:val="left"/>
            </w:pPr>
            <w:r>
              <w:rPr>
                <w:b w:val="false"/>
                <w:bCs w:val="false"/>
                <w:color w:val="222222"/>
                <w:sz w:val="19"/>
                <w:szCs w:val="19"/>
              </w:rPr>
              <w:t xml:space="preserve">AWS IoT Core, Lambda, DynamoDB, API Gateway, AppSync/WebSockets, S3</w:t>
            </w:r>
          </w:p>
        </w:tc>
        <w:tc>
          <w:tcPr>
            <w:tcW w:type="dxa" w:w="3100"/>
            <w:tcMar>
              <w:top w:type="dxa" w:w="100"/>
              <w:left w:type="dxa" w:w="140"/>
              <w:bottom w:type="dxa" w:w="100"/>
              <w:right w:type="dxa" w:w="140"/>
            </w:tcMar>
            <w:vAlign w:val="center"/>
          </w:tcPr>
          <w:p>
            <w:pPr>
              <w:jc w:val="left"/>
            </w:pPr>
            <w:r>
              <w:rPr>
                <w:b w:val="false"/>
                <w:bCs w:val="false"/>
                <w:color w:val="222222"/>
                <w:sz w:val="19"/>
                <w:szCs w:val="19"/>
              </w:rPr>
              <w:t xml:space="preserve">Ingestion, routing, storage, and real-time/historical delivery.</w:t>
            </w:r>
          </w:p>
        </w:tc>
      </w:tr>
      <w:tr>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Mobile platform</w:t>
            </w:r>
          </w:p>
        </w:tc>
        <w:tc>
          <w:tcPr>
            <w:tcW w:type="dxa" w:w="3600"/>
            <w:tcMar>
              <w:top w:type="dxa" w:w="100"/>
              <w:left w:type="dxa" w:w="140"/>
              <w:bottom w:type="dxa" w:w="100"/>
              <w:right w:type="dxa" w:w="140"/>
            </w:tcMar>
            <w:vAlign w:val="center"/>
          </w:tcPr>
          <w:p>
            <w:pPr>
              <w:jc w:val="left"/>
            </w:pPr>
            <w:r>
              <w:rPr>
                <w:b w:val="false"/>
                <w:bCs w:val="false"/>
                <w:color w:val="222222"/>
                <w:sz w:val="19"/>
                <w:szCs w:val="19"/>
              </w:rPr>
              <w:t xml:space="preserve">Android (SDK 34+), Kotlin/Java, Retrofit, Paho MQTT, MPAndroidChart</w:t>
            </w:r>
          </w:p>
        </w:tc>
        <w:tc>
          <w:tcPr>
            <w:tcW w:type="dxa" w:w="3100"/>
            <w:tcMar>
              <w:top w:type="dxa" w:w="100"/>
              <w:left w:type="dxa" w:w="140"/>
              <w:bottom w:type="dxa" w:w="100"/>
              <w:right w:type="dxa" w:w="140"/>
            </w:tcMar>
            <w:vAlign w:val="center"/>
          </w:tcPr>
          <w:p>
            <w:pPr>
              <w:jc w:val="left"/>
            </w:pPr>
            <w:r>
              <w:rPr>
                <w:b w:val="false"/>
                <w:bCs w:val="false"/>
                <w:color w:val="222222"/>
                <w:sz w:val="19"/>
                <w:szCs w:val="19"/>
              </w:rPr>
              <w:t xml:space="preserve">Live telemetry visualization and reverse control.</w:t>
            </w:r>
          </w:p>
        </w:tc>
      </w:tr>
    </w:tbl>
    <w:p>
      <w:pPr>
        <w:pStyle w:val="Heading1"/>
        <w:pBdr>
          <w:bottom w:val="single" w:color="C9D3E0" w:sz="6" w:space="6"/>
        </w:pBdr>
        <w:spacing w:after="200" w:before="420"/>
      </w:pPr>
      <w:r>
        <w:rPr>
          <w:b/>
          <w:bCs/>
          <w:color w:val="1E2761"/>
          <w:sz w:val="30"/>
          <w:szCs w:val="30"/>
        </w:rPr>
        <w:t xml:space="preserve">15. Security Summary</w:t>
      </w:r>
    </w:p>
    <w:p>
      <w:pPr>
        <w:spacing w:after="160" w:line="276"/>
        <w:jc w:val="left"/>
      </w:pPr>
      <w:r>
        <w:rPr>
          <w:color w:val="222222"/>
          <w:sz w:val="21"/>
          <w:szCs w:val="21"/>
        </w:rPr>
        <w:t xml:space="preserve">Security is layered end to end rather than concentrated at a single tier: link-layer protection on the Southbound network, transport-layer mutual authentication on the Northbound link, and least-privilege authorization within AWS.</w:t>
      </w:r>
    </w:p>
    <w:tbl>
      <w:tblPr>
        <w:tblW w:type="dxa" w:w="8800"/>
        <w:tblBorders>
          <w:top w:val="single" w:color="C9D3E0" w:sz="4"/>
          <w:left w:val="single" w:color="C9D3E0" w:sz="4"/>
          <w:bottom w:val="single" w:color="C9D3E0" w:sz="4"/>
          <w:right w:val="single" w:color="C9D3E0" w:sz="4"/>
          <w:insideH w:val="single" w:color="C9D3E0" w:sz="4"/>
          <w:insideV w:val="single" w:color="C9D3E0" w:sz="4"/>
        </w:tblBorders>
      </w:tblPr>
      <w:tblGrid>
        <w:gridCol w:w="2600"/>
        <w:gridCol w:w="2400"/>
        <w:gridCol w:w="3800"/>
      </w:tblGrid>
      <w:tr>
        <w:trPr>
          <w:tblHeader/>
        </w:trPr>
        <w:tc>
          <w:tcPr>
            <w:tcW w:type="dxa" w:w="2600"/>
            <w:shd w:fill="1E2761" w:val="clear"/>
            <w:tcMar>
              <w:top w:type="dxa" w:w="100"/>
              <w:left w:type="dxa" w:w="140"/>
              <w:bottom w:type="dxa" w:w="100"/>
              <w:right w:type="dxa" w:w="140"/>
            </w:tcMar>
            <w:vAlign w:val="center"/>
          </w:tcPr>
          <w:p>
            <w:pPr>
              <w:jc w:val="left"/>
            </w:pPr>
            <w:r>
              <w:rPr>
                <w:b/>
                <w:bCs/>
                <w:color w:val="FFFFFF"/>
                <w:sz w:val="19"/>
                <w:szCs w:val="19"/>
              </w:rPr>
              <w:t xml:space="preserve">Layer</w:t>
            </w:r>
          </w:p>
        </w:tc>
        <w:tc>
          <w:tcPr>
            <w:tcW w:type="dxa" w:w="2400"/>
            <w:shd w:fill="1E2761" w:val="clear"/>
            <w:tcMar>
              <w:top w:type="dxa" w:w="100"/>
              <w:left w:type="dxa" w:w="140"/>
              <w:bottom w:type="dxa" w:w="100"/>
              <w:right w:type="dxa" w:w="140"/>
            </w:tcMar>
            <w:vAlign w:val="center"/>
          </w:tcPr>
          <w:p>
            <w:pPr>
              <w:jc w:val="left"/>
            </w:pPr>
            <w:r>
              <w:rPr>
                <w:b/>
                <w:bCs/>
                <w:color w:val="FFFFFF"/>
                <w:sz w:val="19"/>
                <w:szCs w:val="19"/>
              </w:rPr>
              <w:t xml:space="preserve">Mechanism</w:t>
            </w:r>
          </w:p>
        </w:tc>
        <w:tc>
          <w:tcPr>
            <w:tcW w:type="dxa" w:w="3800"/>
            <w:shd w:fill="1E2761" w:val="clear"/>
            <w:tcMar>
              <w:top w:type="dxa" w:w="100"/>
              <w:left w:type="dxa" w:w="140"/>
              <w:bottom w:type="dxa" w:w="100"/>
              <w:right w:type="dxa" w:w="140"/>
            </w:tcMar>
            <w:vAlign w:val="center"/>
          </w:tcPr>
          <w:p>
            <w:pPr>
              <w:jc w:val="left"/>
            </w:pPr>
            <w:r>
              <w:rPr>
                <w:b/>
                <w:bCs/>
                <w:color w:val="FFFFFF"/>
                <w:sz w:val="19"/>
                <w:szCs w:val="19"/>
              </w:rPr>
              <w:t xml:space="preserve">Detail</w:t>
            </w:r>
          </w:p>
        </w:tc>
      </w:tr>
      <w:tr>
        <w:tc>
          <w:tcPr>
            <w:tcW w:type="dxa" w:w="2600"/>
            <w:tcMar>
              <w:top w:type="dxa" w:w="100"/>
              <w:left w:type="dxa" w:w="140"/>
              <w:bottom w:type="dxa" w:w="100"/>
              <w:right w:type="dxa" w:w="140"/>
            </w:tcMar>
            <w:vAlign w:val="center"/>
          </w:tcPr>
          <w:p>
            <w:pPr>
              <w:jc w:val="left"/>
            </w:pPr>
            <w:r>
              <w:rPr>
                <w:b w:val="false"/>
                <w:bCs w:val="false"/>
                <w:color w:val="222222"/>
                <w:sz w:val="19"/>
                <w:szCs w:val="19"/>
              </w:rPr>
              <w:t xml:space="preserve">Southbound (BLE, connected mode)</w:t>
            </w:r>
          </w:p>
        </w:tc>
        <w:tc>
          <w:tcPr>
            <w:tcW w:type="dxa" w:w="2400"/>
            <w:tcMar>
              <w:top w:type="dxa" w:w="100"/>
              <w:left w:type="dxa" w:w="140"/>
              <w:bottom w:type="dxa" w:w="100"/>
              <w:right w:type="dxa" w:w="140"/>
            </w:tcMar>
            <w:vAlign w:val="center"/>
          </w:tcPr>
          <w:p>
            <w:pPr>
              <w:jc w:val="left"/>
            </w:pPr>
            <w:r>
              <w:rPr>
                <w:b w:val="false"/>
                <w:bCs w:val="false"/>
                <w:color w:val="222222"/>
                <w:sz w:val="19"/>
                <w:szCs w:val="19"/>
              </w:rPr>
              <w:t xml:space="preserve">Link-layer encryption</w:t>
            </w:r>
          </w:p>
        </w:tc>
        <w:tc>
          <w:tcPr>
            <w:tcW w:type="dxa" w:w="3800"/>
            <w:tcMar>
              <w:top w:type="dxa" w:w="100"/>
              <w:left w:type="dxa" w:w="140"/>
              <w:bottom w:type="dxa" w:w="100"/>
              <w:right w:type="dxa" w:w="140"/>
            </w:tcMar>
            <w:vAlign w:val="center"/>
          </w:tcPr>
          <w:p>
            <w:pPr>
              <w:jc w:val="left"/>
            </w:pPr>
            <w:r>
              <w:rPr>
                <w:b w:val="false"/>
                <w:bCs w:val="false"/>
                <w:color w:val="222222"/>
                <w:sz w:val="19"/>
                <w:szCs w:val="19"/>
              </w:rPr>
              <w:t xml:space="preserve">Pairing/Bonding with AES-128 CCM encryption on the GATT link.</w:t>
            </w:r>
          </w:p>
        </w:tc>
      </w:tr>
      <w:tr>
        <w:tc>
          <w:tcPr>
            <w:tcW w:type="dxa" w:w="2600"/>
            <w:tcMar>
              <w:top w:type="dxa" w:w="100"/>
              <w:left w:type="dxa" w:w="140"/>
              <w:bottom w:type="dxa" w:w="100"/>
              <w:right w:type="dxa" w:w="140"/>
            </w:tcMar>
            <w:vAlign w:val="center"/>
          </w:tcPr>
          <w:p>
            <w:pPr>
              <w:jc w:val="left"/>
            </w:pPr>
            <w:r>
              <w:rPr>
                <w:b w:val="false"/>
                <w:bCs w:val="false"/>
                <w:color w:val="222222"/>
                <w:sz w:val="19"/>
                <w:szCs w:val="19"/>
              </w:rPr>
              <w:t xml:space="preserve">Northbound transport</w:t>
            </w:r>
          </w:p>
        </w:tc>
        <w:tc>
          <w:tcPr>
            <w:tcW w:type="dxa" w:w="2400"/>
            <w:tcMar>
              <w:top w:type="dxa" w:w="100"/>
              <w:left w:type="dxa" w:w="140"/>
              <w:bottom w:type="dxa" w:w="100"/>
              <w:right w:type="dxa" w:w="140"/>
            </w:tcMar>
            <w:vAlign w:val="center"/>
          </w:tcPr>
          <w:p>
            <w:pPr>
              <w:jc w:val="left"/>
            </w:pPr>
            <w:r>
              <w:rPr>
                <w:b w:val="false"/>
                <w:bCs w:val="false"/>
                <w:color w:val="222222"/>
                <w:sz w:val="19"/>
                <w:szCs w:val="19"/>
              </w:rPr>
              <w:t xml:space="preserve">Mutual TLS (mTLS)</w:t>
            </w:r>
          </w:p>
        </w:tc>
        <w:tc>
          <w:tcPr>
            <w:tcW w:type="dxa" w:w="3800"/>
            <w:tcMar>
              <w:top w:type="dxa" w:w="100"/>
              <w:left w:type="dxa" w:w="140"/>
              <w:bottom w:type="dxa" w:w="100"/>
              <w:right w:type="dxa" w:w="140"/>
            </w:tcMar>
            <w:vAlign w:val="center"/>
          </w:tcPr>
          <w:p>
            <w:pPr>
              <w:jc w:val="left"/>
            </w:pPr>
            <w:r>
              <w:rPr>
                <w:b w:val="false"/>
                <w:bCs w:val="false"/>
                <w:color w:val="222222"/>
                <w:sz w:val="19"/>
                <w:szCs w:val="19"/>
              </w:rPr>
              <w:t xml:space="preserve">Bidirectional authentication over MQTT port 8883.</w:t>
            </w:r>
          </w:p>
        </w:tc>
      </w:tr>
      <w:tr>
        <w:tc>
          <w:tcPr>
            <w:tcW w:type="dxa" w:w="2600"/>
            <w:tcMar>
              <w:top w:type="dxa" w:w="100"/>
              <w:left w:type="dxa" w:w="140"/>
              <w:bottom w:type="dxa" w:w="100"/>
              <w:right w:type="dxa" w:w="140"/>
            </w:tcMar>
            <w:vAlign w:val="center"/>
          </w:tcPr>
          <w:p>
            <w:pPr>
              <w:jc w:val="left"/>
            </w:pPr>
            <w:r>
              <w:rPr>
                <w:b w:val="false"/>
                <w:bCs w:val="false"/>
                <w:color w:val="222222"/>
                <w:sz w:val="19"/>
                <w:szCs w:val="19"/>
              </w:rPr>
              <w:t xml:space="preserve">Cryptography</w:t>
            </w:r>
          </w:p>
        </w:tc>
        <w:tc>
          <w:tcPr>
            <w:tcW w:type="dxa" w:w="2400"/>
            <w:tcMar>
              <w:top w:type="dxa" w:w="100"/>
              <w:left w:type="dxa" w:w="140"/>
              <w:bottom w:type="dxa" w:w="100"/>
              <w:right w:type="dxa" w:w="140"/>
            </w:tcMar>
            <w:vAlign w:val="center"/>
          </w:tcPr>
          <w:p>
            <w:pPr>
              <w:jc w:val="left"/>
            </w:pPr>
            <w:r>
              <w:rPr>
                <w:b w:val="false"/>
                <w:bCs w:val="false"/>
                <w:color w:val="222222"/>
                <w:sz w:val="19"/>
                <w:szCs w:val="19"/>
              </w:rPr>
              <w:t xml:space="preserve">2048-bit RSA or ECC</w:t>
            </w:r>
          </w:p>
        </w:tc>
        <w:tc>
          <w:tcPr>
            <w:tcW w:type="dxa" w:w="3800"/>
            <w:tcMar>
              <w:top w:type="dxa" w:w="100"/>
              <w:left w:type="dxa" w:w="140"/>
              <w:bottom w:type="dxa" w:w="100"/>
              <w:right w:type="dxa" w:w="140"/>
            </w:tcMar>
            <w:vAlign w:val="center"/>
          </w:tcPr>
          <w:p>
            <w:pPr>
              <w:jc w:val="left"/>
            </w:pPr>
            <w:r>
              <w:rPr>
                <w:b w:val="false"/>
                <w:bCs w:val="false"/>
                <w:color w:val="222222"/>
                <w:sz w:val="19"/>
                <w:szCs w:val="19"/>
              </w:rPr>
              <w:t xml:space="preserve">ECC curve SECP256R1 as the lighter-weight alternative to RSA.</w:t>
            </w:r>
          </w:p>
        </w:tc>
      </w:tr>
      <w:tr>
        <w:tc>
          <w:tcPr>
            <w:tcW w:type="dxa" w:w="2600"/>
            <w:tcMar>
              <w:top w:type="dxa" w:w="100"/>
              <w:left w:type="dxa" w:w="140"/>
              <w:bottom w:type="dxa" w:w="100"/>
              <w:right w:type="dxa" w:w="140"/>
            </w:tcMar>
            <w:vAlign w:val="center"/>
          </w:tcPr>
          <w:p>
            <w:pPr>
              <w:jc w:val="left"/>
            </w:pPr>
            <w:r>
              <w:rPr>
                <w:b w:val="false"/>
                <w:bCs w:val="false"/>
                <w:color w:val="222222"/>
                <w:sz w:val="19"/>
                <w:szCs w:val="19"/>
              </w:rPr>
              <w:t xml:space="preserve">Device identity</w:t>
            </w:r>
          </w:p>
        </w:tc>
        <w:tc>
          <w:tcPr>
            <w:tcW w:type="dxa" w:w="2400"/>
            <w:tcMar>
              <w:top w:type="dxa" w:w="100"/>
              <w:left w:type="dxa" w:w="140"/>
              <w:bottom w:type="dxa" w:w="100"/>
              <w:right w:type="dxa" w:w="140"/>
            </w:tcMar>
            <w:vAlign w:val="center"/>
          </w:tcPr>
          <w:p>
            <w:pPr>
              <w:jc w:val="left"/>
            </w:pPr>
            <w:r>
              <w:rPr>
                <w:b w:val="false"/>
                <w:bCs w:val="false"/>
                <w:color w:val="222222"/>
                <w:sz w:val="19"/>
                <w:szCs w:val="19"/>
              </w:rPr>
              <w:t xml:space="preserve">X.509 certificates</w:t>
            </w:r>
          </w:p>
        </w:tc>
        <w:tc>
          <w:tcPr>
            <w:tcW w:type="dxa" w:w="3800"/>
            <w:tcMar>
              <w:top w:type="dxa" w:w="100"/>
              <w:left w:type="dxa" w:w="140"/>
              <w:bottom w:type="dxa" w:w="100"/>
              <w:right w:type="dxa" w:w="140"/>
            </w:tcMar>
            <w:vAlign w:val="center"/>
          </w:tcPr>
          <w:p>
            <w:pPr>
              <w:jc w:val="left"/>
            </w:pPr>
            <w:r>
              <w:rPr>
                <w:b w:val="false"/>
                <w:bCs w:val="false"/>
                <w:color w:val="222222"/>
                <w:sz w:val="19"/>
                <w:szCs w:val="19"/>
              </w:rPr>
              <w:t xml:space="preserve">Per-device Device Certificate + Private Key, validated against Amazon Root CA 1.</w:t>
            </w:r>
          </w:p>
        </w:tc>
      </w:tr>
      <w:tr>
        <w:tc>
          <w:tcPr>
            <w:tcW w:type="dxa" w:w="2600"/>
            <w:tcMar>
              <w:top w:type="dxa" w:w="100"/>
              <w:left w:type="dxa" w:w="140"/>
              <w:bottom w:type="dxa" w:w="100"/>
              <w:right w:type="dxa" w:w="140"/>
            </w:tcMar>
            <w:vAlign w:val="center"/>
          </w:tcPr>
          <w:p>
            <w:pPr>
              <w:jc w:val="left"/>
            </w:pPr>
            <w:r>
              <w:rPr>
                <w:b w:val="false"/>
                <w:bCs w:val="false"/>
                <w:color w:val="222222"/>
                <w:sz w:val="19"/>
                <w:szCs w:val="19"/>
              </w:rPr>
              <w:t xml:space="preserve">Cloud authorization</w:t>
            </w:r>
          </w:p>
        </w:tc>
        <w:tc>
          <w:tcPr>
            <w:tcW w:type="dxa" w:w="2400"/>
            <w:tcMar>
              <w:top w:type="dxa" w:w="100"/>
              <w:left w:type="dxa" w:w="140"/>
              <w:bottom w:type="dxa" w:w="100"/>
              <w:right w:type="dxa" w:w="140"/>
            </w:tcMar>
            <w:vAlign w:val="center"/>
          </w:tcPr>
          <w:p>
            <w:pPr>
              <w:jc w:val="left"/>
            </w:pPr>
            <w:r>
              <w:rPr>
                <w:b w:val="false"/>
                <w:bCs w:val="false"/>
                <w:color w:val="222222"/>
                <w:sz w:val="19"/>
                <w:szCs w:val="19"/>
              </w:rPr>
              <w:t xml:space="preserve">Least-privilege IoT policy</w:t>
            </w:r>
          </w:p>
        </w:tc>
        <w:tc>
          <w:tcPr>
            <w:tcW w:type="dxa" w:w="3800"/>
            <w:tcMar>
              <w:top w:type="dxa" w:w="100"/>
              <w:left w:type="dxa" w:w="140"/>
              <w:bottom w:type="dxa" w:w="100"/>
              <w:right w:type="dxa" w:w="140"/>
            </w:tcMar>
            <w:vAlign w:val="center"/>
          </w:tcPr>
          <w:p>
            <w:pPr>
              <w:jc w:val="left"/>
            </w:pPr>
            <w:r>
              <w:rPr>
                <w:b w:val="false"/>
                <w:bCs w:val="false"/>
                <w:color w:val="222222"/>
                <w:sz w:val="19"/>
                <w:szCs w:val="19"/>
              </w:rPr>
              <w:t xml:space="preserve">IAM/IoT policy scopes each Thing to iot:Connect on its own client ID and iot:Publish/Subscribe on the tech300/* topic namespace only.</w:t>
            </w:r>
          </w:p>
        </w:tc>
      </w:tr>
      <w:tr>
        <w:tc>
          <w:tcPr>
            <w:tcW w:type="dxa" w:w="2600"/>
            <w:tcMar>
              <w:top w:type="dxa" w:w="100"/>
              <w:left w:type="dxa" w:w="140"/>
              <w:bottom w:type="dxa" w:w="100"/>
              <w:right w:type="dxa" w:w="140"/>
            </w:tcMar>
            <w:vAlign w:val="center"/>
          </w:tcPr>
          <w:p>
            <w:pPr>
              <w:jc w:val="left"/>
            </w:pPr>
            <w:r>
              <w:rPr>
                <w:b w:val="false"/>
                <w:bCs w:val="false"/>
                <w:color w:val="222222"/>
                <w:sz w:val="19"/>
                <w:szCs w:val="19"/>
              </w:rPr>
              <w:t xml:space="preserve">Mobile app authentication</w:t>
            </w:r>
          </w:p>
        </w:tc>
        <w:tc>
          <w:tcPr>
            <w:tcW w:type="dxa" w:w="2400"/>
            <w:tcMar>
              <w:top w:type="dxa" w:w="100"/>
              <w:left w:type="dxa" w:w="140"/>
              <w:bottom w:type="dxa" w:w="100"/>
              <w:right w:type="dxa" w:w="140"/>
            </w:tcMar>
            <w:vAlign w:val="center"/>
          </w:tcPr>
          <w:p>
            <w:pPr>
              <w:jc w:val="left"/>
            </w:pPr>
            <w:r>
              <w:rPr>
                <w:b w:val="false"/>
                <w:bCs w:val="false"/>
                <w:color w:val="222222"/>
                <w:sz w:val="19"/>
                <w:szCs w:val="19"/>
              </w:rPr>
              <w:t xml:space="preserve">Amazon Cognito</w:t>
            </w:r>
          </w:p>
        </w:tc>
        <w:tc>
          <w:tcPr>
            <w:tcW w:type="dxa" w:w="3800"/>
            <w:tcMar>
              <w:top w:type="dxa" w:w="100"/>
              <w:left w:type="dxa" w:w="140"/>
              <w:bottom w:type="dxa" w:w="100"/>
              <w:right w:type="dxa" w:w="140"/>
            </w:tcMar>
            <w:vAlign w:val="center"/>
          </w:tcPr>
          <w:p>
            <w:pPr>
              <w:jc w:val="left"/>
            </w:pPr>
            <w:r>
              <w:rPr>
                <w:b w:val="false"/>
                <w:bCs w:val="false"/>
                <w:color w:val="222222"/>
                <w:sz w:val="19"/>
                <w:szCs w:val="19"/>
              </w:rPr>
              <w:t xml:space="preserve">Authenticates the Android app for MQTT/WebSocket subscriptions and API Gateway calls.</w:t>
            </w:r>
          </w:p>
        </w:tc>
      </w:tr>
    </w:tbl>
    <w:p>
      <w:r>
        <w:br w:type="page"/>
      </w:r>
    </w:p>
    <w:p>
      <w:pPr>
        <w:pStyle w:val="Heading1"/>
        <w:pBdr>
          <w:bottom w:val="single" w:color="C9D3E0" w:sz="6" w:space="6"/>
        </w:pBdr>
        <w:spacing w:after="200" w:before="420"/>
      </w:pPr>
      <w:r>
        <w:rPr>
          <w:b/>
          <w:bCs/>
          <w:color w:val="1E2761"/>
          <w:sz w:val="30"/>
          <w:szCs w:val="30"/>
        </w:rPr>
        <w:t xml:space="preserve">Appendix A — AWS IoT Least-Privilege Policy (Full)</w:t>
      </w:r>
    </w:p>
    <w:tbl>
      <w:tblPr>
        <w:tblW w:type="pct" w:w="100%"/>
        <w:tblBorders>
          <w:top w:val="single" w:color="3A3F4B" w:sz="4"/>
          <w:left w:val="single" w:color="3A3F4B" w:sz="4"/>
          <w:bottom w:val="single" w:color="3A3F4B" w:sz="4"/>
          <w:right w:val="single" w:color="3A3F4B" w:sz="4"/>
          <w:insideH w:val="none" w:color="FFFFFF" w:sz="0"/>
          <w:insideV w:val="none" w:color="FFFFFF" w:sz="0"/>
        </w:tblBorders>
      </w:tblPr>
      <w:tblGrid>
        <w:gridCol w:w="100"/>
      </w:tblGrid>
      <w:tr>
        <w:tc>
          <w:tcPr>
            <w:shd w:fill="1E1F26" w:val="clear"/>
            <w:tcMar>
              <w:top w:type="dxa" w:w="160"/>
              <w:left w:type="dxa" w:w="220"/>
              <w:bottom w:type="dxa" w:w="160"/>
              <w:right w:type="dxa" w:w="220"/>
            </w:tcMar>
          </w:tcPr>
          <w:p>
            <w:pPr>
              <w:spacing w:after="20"/>
            </w:pPr>
            <w:r>
              <w:rPr>
                <w:rFonts w:ascii="Courier New" w:cs="Courier New" w:eastAsia="Courier New" w:hAnsi="Courier New"/>
                <w:color w:val="E7E9EE"/>
                <w:sz w:val="18"/>
                <w:szCs w:val="18"/>
              </w:rPr>
              <w:t xml:space="preserve">{</w:t>
            </w:r>
          </w:p>
          <w:p>
            <w:pPr>
              <w:spacing w:after="20"/>
            </w:pPr>
            <w:r>
              <w:rPr>
                <w:rFonts w:ascii="Courier New" w:cs="Courier New" w:eastAsia="Courier New" w:hAnsi="Courier New"/>
                <w:color w:val="E7E9EE"/>
                <w:sz w:val="18"/>
                <w:szCs w:val="18"/>
              </w:rPr>
              <w:t xml:space="preserve">  "Version": "2012-10-17",</w:t>
            </w:r>
          </w:p>
          <w:p>
            <w:pPr>
              <w:spacing w:after="20"/>
            </w:pPr>
            <w:r>
              <w:rPr>
                <w:rFonts w:ascii="Courier New" w:cs="Courier New" w:eastAsia="Courier New" w:hAnsi="Courier New"/>
                <w:color w:val="E7E9EE"/>
                <w:sz w:val="18"/>
                <w:szCs w:val="18"/>
              </w:rPr>
              <w:t xml:space="preserve">  "Statement": [</w:t>
            </w:r>
          </w:p>
          <w:p>
            <w:pPr>
              <w:spacing w:after="20"/>
            </w:pPr>
            <w:r>
              <w:rPr>
                <w:rFonts w:ascii="Courier New" w:cs="Courier New" w:eastAsia="Courier New" w:hAnsi="Courier New"/>
                <w:color w:val="E7E9EE"/>
                <w:sz w:val="18"/>
                <w:szCs w:val="18"/>
              </w:rPr>
              <w:t xml:space="preserve">    {</w:t>
            </w:r>
          </w:p>
          <w:p>
            <w:pPr>
              <w:spacing w:after="20"/>
            </w:pPr>
            <w:r>
              <w:rPr>
                <w:rFonts w:ascii="Courier New" w:cs="Courier New" w:eastAsia="Courier New" w:hAnsi="Courier New"/>
                <w:color w:val="E7E9EE"/>
                <w:sz w:val="18"/>
                <w:szCs w:val="18"/>
              </w:rPr>
              <w:t xml:space="preserve">      "Effect": "Allow",</w:t>
            </w:r>
          </w:p>
          <w:p>
            <w:pPr>
              <w:spacing w:after="20"/>
            </w:pPr>
            <w:r>
              <w:rPr>
                <w:rFonts w:ascii="Courier New" w:cs="Courier New" w:eastAsia="Courier New" w:hAnsi="Courier New"/>
                <w:color w:val="E7E9EE"/>
                <w:sz w:val="18"/>
                <w:szCs w:val="18"/>
              </w:rPr>
              <w:t xml:space="preserve">      "Action": "iot:Connect",</w:t>
            </w:r>
          </w:p>
          <w:p>
            <w:pPr>
              <w:spacing w:after="20"/>
            </w:pPr>
            <w:r>
              <w:rPr>
                <w:rFonts w:ascii="Courier New" w:cs="Courier New" w:eastAsia="Courier New" w:hAnsi="Courier New"/>
                <w:color w:val="E7E9EE"/>
                <w:sz w:val="18"/>
                <w:szCs w:val="18"/>
              </w:rPr>
              <w:t xml:space="preserve">      "Resource": "arn:aws:iot:*:*:client/${iot:Connection.Thing.ThingName}"</w:t>
            </w:r>
          </w:p>
          <w:p>
            <w:pPr>
              <w:spacing w:after="20"/>
            </w:pPr>
            <w:r>
              <w:rPr>
                <w:rFonts w:ascii="Courier New" w:cs="Courier New" w:eastAsia="Courier New" w:hAnsi="Courier New"/>
                <w:color w:val="E7E9EE"/>
                <w:sz w:val="18"/>
                <w:szCs w:val="18"/>
              </w:rPr>
              <w:t xml:space="preserve">    },</w:t>
            </w:r>
          </w:p>
          <w:p>
            <w:pPr>
              <w:spacing w:after="20"/>
            </w:pPr>
            <w:r>
              <w:rPr>
                <w:rFonts w:ascii="Courier New" w:cs="Courier New" w:eastAsia="Courier New" w:hAnsi="Courier New"/>
                <w:color w:val="E7E9EE"/>
                <w:sz w:val="18"/>
                <w:szCs w:val="18"/>
              </w:rPr>
              <w:t xml:space="preserve">    {</w:t>
            </w:r>
          </w:p>
          <w:p>
            <w:pPr>
              <w:spacing w:after="20"/>
            </w:pPr>
            <w:r>
              <w:rPr>
                <w:rFonts w:ascii="Courier New" w:cs="Courier New" w:eastAsia="Courier New" w:hAnsi="Courier New"/>
                <w:color w:val="E7E9EE"/>
                <w:sz w:val="18"/>
                <w:szCs w:val="18"/>
              </w:rPr>
              <w:t xml:space="preserve">      "Effect": "Allow",</w:t>
            </w:r>
          </w:p>
          <w:p>
            <w:pPr>
              <w:spacing w:after="20"/>
            </w:pPr>
            <w:r>
              <w:rPr>
                <w:rFonts w:ascii="Courier New" w:cs="Courier New" w:eastAsia="Courier New" w:hAnsi="Courier New"/>
                <w:color w:val="E7E9EE"/>
                <w:sz w:val="18"/>
                <w:szCs w:val="18"/>
              </w:rPr>
              <w:t xml:space="preserve">      "Action": ["iot:Publish", "iot:Subscribe"],</w:t>
            </w:r>
          </w:p>
          <w:p>
            <w:pPr>
              <w:spacing w:after="20"/>
            </w:pPr>
            <w:r>
              <w:rPr>
                <w:rFonts w:ascii="Courier New" w:cs="Courier New" w:eastAsia="Courier New" w:hAnsi="Courier New"/>
                <w:color w:val="E7E9EE"/>
                <w:sz w:val="18"/>
                <w:szCs w:val="18"/>
              </w:rPr>
              <w:t xml:space="preserve">      "Resource": "arn:aws:iot:*:*:topic/tech300/*"</w:t>
            </w:r>
          </w:p>
          <w:p>
            <w:pPr>
              <w:spacing w:after="20"/>
            </w:pPr>
            <w:r>
              <w:rPr>
                <w:rFonts w:ascii="Courier New" w:cs="Courier New" w:eastAsia="Courier New" w:hAnsi="Courier New"/>
                <w:color w:val="E7E9EE"/>
                <w:sz w:val="18"/>
                <w:szCs w:val="18"/>
              </w:rPr>
              <w:t xml:space="preserve">    }</w:t>
            </w:r>
          </w:p>
          <w:p>
            <w:pPr>
              <w:spacing w:after="20"/>
            </w:pPr>
            <w:r>
              <w:rPr>
                <w:rFonts w:ascii="Courier New" w:cs="Courier New" w:eastAsia="Courier New" w:hAnsi="Courier New"/>
                <w:color w:val="E7E9EE"/>
                <w:sz w:val="18"/>
                <w:szCs w:val="18"/>
              </w:rPr>
              <w:t xml:space="preserve">  ]</w:t>
            </w:r>
          </w:p>
          <w:p>
            <w:pPr>
              <w:spacing w:after="20"/>
            </w:pPr>
            <w:r>
              <w:rPr>
                <w:rFonts w:ascii="Courier New" w:cs="Courier New" w:eastAsia="Courier New" w:hAnsi="Courier New"/>
                <w:color w:val="E7E9EE"/>
                <w:sz w:val="18"/>
                <w:szCs w:val="18"/>
              </w:rPr>
              <w:t xml:space="preserve">}</w:t>
            </w:r>
          </w:p>
        </w:tc>
      </w:tr>
    </w:tbl>
    <w:p>
      <w:pPr>
        <w:pStyle w:val="Heading1"/>
        <w:pBdr>
          <w:bottom w:val="single" w:color="C9D3E0" w:sz="6" w:space="6"/>
        </w:pBdr>
        <w:spacing w:after="200" w:before="420"/>
      </w:pPr>
      <w:r>
        <w:rPr>
          <w:b/>
          <w:bCs/>
          <w:color w:val="1E2761"/>
          <w:sz w:val="30"/>
          <w:szCs w:val="30"/>
        </w:rPr>
        <w:t xml:space="preserve">Appendix B — Gateway Publisher Script (Python, AWS IoT Device SDK v2)</w:t>
      </w:r>
    </w:p>
    <w:tbl>
      <w:tblPr>
        <w:tblW w:type="pct" w:w="100%"/>
        <w:tblBorders>
          <w:top w:val="single" w:color="3A3F4B" w:sz="4"/>
          <w:left w:val="single" w:color="3A3F4B" w:sz="4"/>
          <w:bottom w:val="single" w:color="3A3F4B" w:sz="4"/>
          <w:right w:val="single" w:color="3A3F4B" w:sz="4"/>
          <w:insideH w:val="none" w:color="FFFFFF" w:sz="0"/>
          <w:insideV w:val="none" w:color="FFFFFF" w:sz="0"/>
        </w:tblBorders>
      </w:tblPr>
      <w:tblGrid>
        <w:gridCol w:w="100"/>
      </w:tblGrid>
      <w:tr>
        <w:tc>
          <w:tcPr>
            <w:shd w:fill="1E1F26" w:val="clear"/>
            <w:tcMar>
              <w:top w:type="dxa" w:w="160"/>
              <w:left w:type="dxa" w:w="220"/>
              <w:bottom w:type="dxa" w:w="160"/>
              <w:right w:type="dxa" w:w="220"/>
            </w:tcMar>
          </w:tcPr>
          <w:p>
            <w:pPr>
              <w:spacing w:after="20"/>
            </w:pPr>
            <w:r>
              <w:rPr>
                <w:rFonts w:ascii="Courier New" w:cs="Courier New" w:eastAsia="Courier New" w:hAnsi="Courier New"/>
                <w:color w:val="E7E9EE"/>
                <w:sz w:val="18"/>
                <w:szCs w:val="18"/>
              </w:rPr>
              <w:t xml:space="preserve">import asyncio, json</w:t>
            </w:r>
          </w:p>
          <w:p>
            <w:pPr>
              <w:spacing w:after="20"/>
            </w:pPr>
            <w:r>
              <w:rPr>
                <w:rFonts w:ascii="Courier New" w:cs="Courier New" w:eastAsia="Courier New" w:hAnsi="Courier New"/>
                <w:color w:val="E7E9EE"/>
                <w:sz w:val="18"/>
                <w:szCs w:val="18"/>
              </w:rPr>
              <w:t xml:space="preserve">from awscrt import io, mqtt</w:t>
            </w:r>
          </w:p>
          <w:p>
            <w:pPr>
              <w:spacing w:after="20"/>
            </w:pPr>
            <w:r>
              <w:rPr>
                <w:rFonts w:ascii="Courier New" w:cs="Courier New" w:eastAsia="Courier New" w:hAnsi="Courier New"/>
                <w:color w:val="E7E9EE"/>
                <w:sz w:val="18"/>
                <w:szCs w:val="18"/>
              </w:rPr>
              <w:t xml:space="preserve">from awsiot import mqtt_connection_builder</w:t>
            </w:r>
          </w:p>
          <w:p>
            <w:pPr>
              <w:spacing w:after="20"/>
            </w:pPr>
            <w:r>
              <w:rPr>
                <w:rFonts w:ascii="Courier New" w:cs="Courier New" w:eastAsia="Courier New" w:hAnsi="Courier New"/>
                <w:color w:val="E7E9EE"/>
                <w:sz w:val="18"/>
                <w:szCs w:val="18"/>
              </w:rPr>
              <w:t xml:space="preserve"> </w:t>
            </w:r>
          </w:p>
          <w:p>
            <w:pPr>
              <w:spacing w:after="20"/>
            </w:pPr>
            <w:r>
              <w:rPr>
                <w:rFonts w:ascii="Courier New" w:cs="Courier New" w:eastAsia="Courier New" w:hAnsi="Courier New"/>
                <w:color w:val="E7E9EE"/>
                <w:sz w:val="18"/>
                <w:szCs w:val="18"/>
              </w:rPr>
              <w:t xml:space="preserve"># Configure mTLS Connection to AWS IoT Core</w:t>
            </w:r>
          </w:p>
          <w:p>
            <w:pPr>
              <w:spacing w:after="20"/>
            </w:pPr>
            <w:r>
              <w:rPr>
                <w:rFonts w:ascii="Courier New" w:cs="Courier New" w:eastAsia="Courier New" w:hAnsi="Courier New"/>
                <w:color w:val="E7E9EE"/>
                <w:sz w:val="18"/>
                <w:szCs w:val="18"/>
              </w:rPr>
              <w:t xml:space="preserve">mqtt_conn = mqtt_connection_builder.mtls_from_path(</w:t>
            </w:r>
          </w:p>
          <w:p>
            <w:pPr>
              <w:spacing w:after="20"/>
            </w:pPr>
            <w:r>
              <w:rPr>
                <w:rFonts w:ascii="Courier New" w:cs="Courier New" w:eastAsia="Courier New" w:hAnsi="Courier New"/>
                <w:color w:val="E7E9EE"/>
                <w:sz w:val="18"/>
                <w:szCs w:val="18"/>
              </w:rPr>
              <w:t xml:space="preserve">    endpoint="a1xxxxxxxxxxx-ats.iot.us-east-1.amazonaws.com",</w:t>
            </w:r>
          </w:p>
          <w:p>
            <w:pPr>
              <w:spacing w:after="20"/>
            </w:pPr>
            <w:r>
              <w:rPr>
                <w:rFonts w:ascii="Courier New" w:cs="Courier New" w:eastAsia="Courier New" w:hAnsi="Courier New"/>
                <w:color w:val="E7E9EE"/>
                <w:sz w:val="18"/>
                <w:szCs w:val="18"/>
              </w:rPr>
              <w:t xml:space="preserve">    cert_filepath="Gateway_Pi4.cert.pem",</w:t>
            </w:r>
          </w:p>
          <w:p>
            <w:pPr>
              <w:spacing w:after="20"/>
            </w:pPr>
            <w:r>
              <w:rPr>
                <w:rFonts w:ascii="Courier New" w:cs="Courier New" w:eastAsia="Courier New" w:hAnsi="Courier New"/>
                <w:color w:val="E7E9EE"/>
                <w:sz w:val="18"/>
                <w:szCs w:val="18"/>
              </w:rPr>
              <w:t xml:space="preserve">    pri_key_filepath="Gateway_Pi4.private.key",</w:t>
            </w:r>
          </w:p>
          <w:p>
            <w:pPr>
              <w:spacing w:after="20"/>
            </w:pPr>
            <w:r>
              <w:rPr>
                <w:rFonts w:ascii="Courier New" w:cs="Courier New" w:eastAsia="Courier New" w:hAnsi="Courier New"/>
                <w:color w:val="E7E9EE"/>
                <w:sz w:val="18"/>
                <w:szCs w:val="18"/>
              </w:rPr>
              <w:t xml:space="preserve">    ca_filepath="AmazonRootCA1.pem",</w:t>
            </w:r>
          </w:p>
          <w:p>
            <w:pPr>
              <w:spacing w:after="20"/>
            </w:pPr>
            <w:r>
              <w:rPr>
                <w:rFonts w:ascii="Courier New" w:cs="Courier New" w:eastAsia="Courier New" w:hAnsi="Courier New"/>
                <w:color w:val="E7E9EE"/>
                <w:sz w:val="18"/>
                <w:szCs w:val="18"/>
              </w:rPr>
              <w:t xml:space="preserve">    client_id="Gateway_Pi4_Demo"</w:t>
            </w:r>
          </w:p>
          <w:p>
            <w:pPr>
              <w:spacing w:after="20"/>
            </w:pPr>
            <w:r>
              <w:rPr>
                <w:rFonts w:ascii="Courier New" w:cs="Courier New" w:eastAsia="Courier New" w:hAnsi="Courier New"/>
                <w:color w:val="E7E9EE"/>
                <w:sz w:val="18"/>
                <w:szCs w:val="18"/>
              </w:rPr>
              <w:t xml:space="preserve">)</w:t>
            </w:r>
          </w:p>
          <w:p>
            <w:pPr>
              <w:spacing w:after="20"/>
            </w:pPr>
            <w:r>
              <w:rPr>
                <w:rFonts w:ascii="Courier New" w:cs="Courier New" w:eastAsia="Courier New" w:hAnsi="Courier New"/>
                <w:color w:val="E7E9EE"/>
                <w:sz w:val="18"/>
                <w:szCs w:val="18"/>
              </w:rPr>
              <w:t xml:space="preserve">mqtt_conn.connect().result()</w:t>
            </w:r>
          </w:p>
          <w:p>
            <w:pPr>
              <w:spacing w:after="20"/>
            </w:pPr>
            <w:r>
              <w:rPr>
                <w:rFonts w:ascii="Courier New" w:cs="Courier New" w:eastAsia="Courier New" w:hAnsi="Courier New"/>
                <w:color w:val="E7E9EE"/>
                <w:sz w:val="18"/>
                <w:szCs w:val="18"/>
              </w:rPr>
              <w:t xml:space="preserve"> </w:t>
            </w:r>
          </w:p>
          <w:p>
            <w:pPr>
              <w:spacing w:after="20"/>
            </w:pPr>
            <w:r>
              <w:rPr>
                <w:rFonts w:ascii="Courier New" w:cs="Courier New" w:eastAsia="Courier New" w:hAnsi="Courier New"/>
                <w:color w:val="E7E9EE"/>
                <w:sz w:val="18"/>
                <w:szCs w:val="18"/>
              </w:rPr>
              <w:t xml:space="preserve"># Sensor Data Ingestion &amp; MQTT Publish</w:t>
            </w:r>
          </w:p>
          <w:p>
            <w:pPr>
              <w:spacing w:after="20"/>
            </w:pPr>
            <w:r>
              <w:rPr>
                <w:rFonts w:ascii="Courier New" w:cs="Courier New" w:eastAsia="Courier New" w:hAnsi="Courier New"/>
                <w:color w:val="E7E9EE"/>
                <w:sz w:val="18"/>
                <w:szCs w:val="18"/>
              </w:rPr>
              <w:t xml:space="preserve">payload = {"device_id": "sensor_node_01", "temp": 24.5, "humidity": 58.2, "timestamp": 1775736000}</w:t>
            </w:r>
          </w:p>
          <w:p>
            <w:pPr>
              <w:spacing w:after="20"/>
            </w:pPr>
            <w:r>
              <w:rPr>
                <w:rFonts w:ascii="Courier New" w:cs="Courier New" w:eastAsia="Courier New" w:hAnsi="Courier New"/>
                <w:color w:val="E7E9EE"/>
                <w:sz w:val="18"/>
                <w:szCs w:val="18"/>
              </w:rPr>
              <w:t xml:space="preserve">mqtt_conn.publish(</w:t>
            </w:r>
          </w:p>
          <w:p>
            <w:pPr>
              <w:spacing w:after="20"/>
            </w:pPr>
            <w:r>
              <w:rPr>
                <w:rFonts w:ascii="Courier New" w:cs="Courier New" w:eastAsia="Courier New" w:hAnsi="Courier New"/>
                <w:color w:val="E7E9EE"/>
                <w:sz w:val="18"/>
                <w:szCs w:val="18"/>
              </w:rPr>
              <w:t xml:space="preserve">    topic="tech300/telemetry/node_01",</w:t>
            </w:r>
          </w:p>
          <w:p>
            <w:pPr>
              <w:spacing w:after="20"/>
            </w:pPr>
            <w:r>
              <w:rPr>
                <w:rFonts w:ascii="Courier New" w:cs="Courier New" w:eastAsia="Courier New" w:hAnsi="Courier New"/>
                <w:color w:val="E7E9EE"/>
                <w:sz w:val="18"/>
                <w:szCs w:val="18"/>
              </w:rPr>
              <w:t xml:space="preserve">    payload=json.dumps(payload),</w:t>
            </w:r>
          </w:p>
          <w:p>
            <w:pPr>
              <w:spacing w:after="20"/>
            </w:pPr>
            <w:r>
              <w:rPr>
                <w:rFonts w:ascii="Courier New" w:cs="Courier New" w:eastAsia="Courier New" w:hAnsi="Courier New"/>
                <w:color w:val="E7E9EE"/>
                <w:sz w:val="18"/>
                <w:szCs w:val="18"/>
              </w:rPr>
              <w:t xml:space="preserve">    qos=mqtt.QoS.AT_LEAST_ONCE</w:t>
            </w:r>
          </w:p>
          <w:p>
            <w:pPr>
              <w:spacing w:after="20"/>
            </w:pPr>
            <w:r>
              <w:rPr>
                <w:rFonts w:ascii="Courier New" w:cs="Courier New" w:eastAsia="Courier New" w:hAnsi="Courier New"/>
                <w:color w:val="E7E9EE"/>
                <w:sz w:val="18"/>
                <w:szCs w:val="18"/>
              </w:rPr>
              <w:t xml:space="preserve">)</w:t>
            </w:r>
          </w:p>
        </w:tc>
      </w:tr>
    </w:tbl>
    <w:p>
      <w:pPr>
        <w:pStyle w:val="Heading1"/>
        <w:pBdr>
          <w:bottom w:val="single" w:color="C9D3E0" w:sz="6" w:space="6"/>
        </w:pBdr>
        <w:spacing w:after="200" w:before="420"/>
      </w:pPr>
      <w:r>
        <w:rPr>
          <w:b/>
          <w:bCs/>
          <w:color w:val="1E2761"/>
          <w:sz w:val="30"/>
          <w:szCs w:val="30"/>
        </w:rPr>
        <w:t xml:space="preserve">Appendix C — AWS IoT Rule: Telemetry Routing SQL</w:t>
      </w:r>
    </w:p>
    <w:tbl>
      <w:tblPr>
        <w:tblW w:type="pct" w:w="100%"/>
        <w:tblBorders>
          <w:top w:val="single" w:color="3A3F4B" w:sz="4"/>
          <w:left w:val="single" w:color="3A3F4B" w:sz="4"/>
          <w:bottom w:val="single" w:color="3A3F4B" w:sz="4"/>
          <w:right w:val="single" w:color="3A3F4B" w:sz="4"/>
          <w:insideH w:val="none" w:color="FFFFFF" w:sz="0"/>
          <w:insideV w:val="none" w:color="FFFFFF" w:sz="0"/>
        </w:tblBorders>
      </w:tblPr>
      <w:tblGrid>
        <w:gridCol w:w="100"/>
      </w:tblGrid>
      <w:tr>
        <w:tc>
          <w:tcPr>
            <w:shd w:fill="1E1F26" w:val="clear"/>
            <w:tcMar>
              <w:top w:type="dxa" w:w="160"/>
              <w:left w:type="dxa" w:w="220"/>
              <w:bottom w:type="dxa" w:w="160"/>
              <w:right w:type="dxa" w:w="220"/>
            </w:tcMar>
          </w:tcPr>
          <w:p>
            <w:pPr>
              <w:spacing w:after="20"/>
            </w:pPr>
            <w:r>
              <w:rPr>
                <w:rFonts w:ascii="Courier New" w:cs="Courier New" w:eastAsia="Courier New" w:hAnsi="Courier New"/>
                <w:color w:val="E7E9EE"/>
                <w:sz w:val="18"/>
                <w:szCs w:val="18"/>
              </w:rPr>
              <w:t xml:space="preserve">SELECT device_id, temp, humidity, timestamp</w:t>
            </w:r>
          </w:p>
          <w:p>
            <w:pPr>
              <w:spacing w:after="20"/>
            </w:pPr>
            <w:r>
              <w:rPr>
                <w:rFonts w:ascii="Courier New" w:cs="Courier New" w:eastAsia="Courier New" w:hAnsi="Courier New"/>
                <w:color w:val="E7E9EE"/>
                <w:sz w:val="18"/>
                <w:szCs w:val="18"/>
              </w:rPr>
              <w:t xml:space="preserve">FROM 'tech300/telemetry/+'</w:t>
            </w:r>
          </w:p>
          <w:p>
            <w:pPr>
              <w:spacing w:after="20"/>
            </w:pPr>
            <w:r>
              <w:rPr>
                <w:rFonts w:ascii="Courier New" w:cs="Courier New" w:eastAsia="Courier New" w:hAnsi="Courier New"/>
                <w:color w:val="E7E9EE"/>
                <w:sz w:val="18"/>
                <w:szCs w:val="18"/>
              </w:rPr>
              <w:t xml:space="preserve">WHERE temp &gt; 0</w:t>
            </w:r>
          </w:p>
        </w:tc>
      </w:tr>
    </w:tbl>
    <w:p>
      <w:pPr>
        <w:pStyle w:val="Heading1"/>
        <w:pBdr>
          <w:bottom w:val="single" w:color="C9D3E0" w:sz="6" w:space="6"/>
        </w:pBdr>
        <w:spacing w:after="200" w:before="420"/>
      </w:pPr>
      <w:r>
        <w:rPr>
          <w:b/>
          <w:bCs/>
          <w:color w:val="1E2761"/>
          <w:sz w:val="30"/>
          <w:szCs w:val="30"/>
        </w:rPr>
        <w:t xml:space="preserve">Appendix D — Wireless Protocol Comparison (Reference Copy)</w:t>
      </w:r>
    </w:p>
    <w:tbl>
      <w:tblPr>
        <w:tblW w:type="dxa" w:w="9600"/>
        <w:tblBorders>
          <w:top w:val="single" w:color="C9D3E0" w:sz="4"/>
          <w:left w:val="single" w:color="C9D3E0" w:sz="4"/>
          <w:bottom w:val="single" w:color="C9D3E0" w:sz="4"/>
          <w:right w:val="single" w:color="C9D3E0" w:sz="4"/>
          <w:insideH w:val="single" w:color="C9D3E0" w:sz="4"/>
          <w:insideV w:val="single" w:color="C9D3E0" w:sz="4"/>
        </w:tblBorders>
      </w:tblPr>
      <w:tblGrid>
        <w:gridCol w:w="1400"/>
        <w:gridCol w:w="2200"/>
        <w:gridCol w:w="1700"/>
        <w:gridCol w:w="1450"/>
        <w:gridCol w:w="1450"/>
        <w:gridCol w:w="1400"/>
      </w:tblGrid>
      <w:tr>
        <w:trPr>
          <w:tblHeader/>
        </w:trPr>
        <w:tc>
          <w:tcPr>
            <w:tcW w:type="dxa" w:w="1400"/>
            <w:shd w:fill="1E2761" w:val="clear"/>
            <w:tcMar>
              <w:top w:type="dxa" w:w="100"/>
              <w:left w:type="dxa" w:w="140"/>
              <w:bottom w:type="dxa" w:w="100"/>
              <w:right w:type="dxa" w:w="140"/>
            </w:tcMar>
            <w:vAlign w:val="center"/>
          </w:tcPr>
          <w:p>
            <w:pPr>
              <w:jc w:val="left"/>
            </w:pPr>
            <w:r>
              <w:rPr>
                <w:b/>
                <w:bCs/>
                <w:color w:val="FFFFFF"/>
                <w:sz w:val="19"/>
                <w:szCs w:val="19"/>
              </w:rPr>
              <w:t xml:space="preserve">Protocol</w:t>
            </w:r>
          </w:p>
        </w:tc>
        <w:tc>
          <w:tcPr>
            <w:tcW w:type="dxa" w:w="2200"/>
            <w:shd w:fill="1E2761" w:val="clear"/>
            <w:tcMar>
              <w:top w:type="dxa" w:w="100"/>
              <w:left w:type="dxa" w:w="140"/>
              <w:bottom w:type="dxa" w:w="100"/>
              <w:right w:type="dxa" w:w="140"/>
            </w:tcMar>
            <w:vAlign w:val="center"/>
          </w:tcPr>
          <w:p>
            <w:pPr>
              <w:jc w:val="left"/>
            </w:pPr>
            <w:r>
              <w:rPr>
                <w:b/>
                <w:bCs/>
                <w:color w:val="FFFFFF"/>
                <w:sz w:val="19"/>
                <w:szCs w:val="19"/>
              </w:rPr>
              <w:t xml:space="preserve">Standard</w:t>
            </w:r>
          </w:p>
        </w:tc>
        <w:tc>
          <w:tcPr>
            <w:tcW w:type="dxa" w:w="1700"/>
            <w:shd w:fill="1E2761" w:val="clear"/>
            <w:tcMar>
              <w:top w:type="dxa" w:w="100"/>
              <w:left w:type="dxa" w:w="140"/>
              <w:bottom w:type="dxa" w:w="100"/>
              <w:right w:type="dxa" w:w="140"/>
            </w:tcMar>
            <w:vAlign w:val="center"/>
          </w:tcPr>
          <w:p>
            <w:pPr>
              <w:jc w:val="left"/>
            </w:pPr>
            <w:r>
              <w:rPr>
                <w:b/>
                <w:bCs/>
                <w:color w:val="FFFFFF"/>
                <w:sz w:val="19"/>
                <w:szCs w:val="19"/>
              </w:rPr>
              <w:t xml:space="preserve">Frequency Band</w:t>
            </w:r>
          </w:p>
        </w:tc>
        <w:tc>
          <w:tcPr>
            <w:tcW w:type="dxa" w:w="1450"/>
            <w:shd w:fill="1E2761" w:val="clear"/>
            <w:tcMar>
              <w:top w:type="dxa" w:w="100"/>
              <w:left w:type="dxa" w:w="140"/>
              <w:bottom w:type="dxa" w:w="100"/>
              <w:right w:type="dxa" w:w="140"/>
            </w:tcMar>
            <w:vAlign w:val="center"/>
          </w:tcPr>
          <w:p>
            <w:pPr>
              <w:jc w:val="left"/>
            </w:pPr>
            <w:r>
              <w:rPr>
                <w:b/>
                <w:bCs/>
                <w:color w:val="FFFFFF"/>
                <w:sz w:val="19"/>
                <w:szCs w:val="19"/>
              </w:rPr>
              <w:t xml:space="preserve">Data Rate</w:t>
            </w:r>
          </w:p>
        </w:tc>
        <w:tc>
          <w:tcPr>
            <w:tcW w:type="dxa" w:w="1450"/>
            <w:shd w:fill="1E2761" w:val="clear"/>
            <w:tcMar>
              <w:top w:type="dxa" w:w="100"/>
              <w:left w:type="dxa" w:w="140"/>
              <w:bottom w:type="dxa" w:w="100"/>
              <w:right w:type="dxa" w:w="140"/>
            </w:tcMar>
            <w:vAlign w:val="center"/>
          </w:tcPr>
          <w:p>
            <w:pPr>
              <w:jc w:val="left"/>
            </w:pPr>
            <w:r>
              <w:rPr>
                <w:b/>
                <w:bCs/>
                <w:color w:val="FFFFFF"/>
                <w:sz w:val="19"/>
                <w:szCs w:val="19"/>
              </w:rPr>
              <w:t xml:space="preserve">Battery Life</w:t>
            </w:r>
          </w:p>
        </w:tc>
        <w:tc>
          <w:tcPr>
            <w:tcW w:type="dxa" w:w="1400"/>
            <w:shd w:fill="1E2761" w:val="clear"/>
            <w:tcMar>
              <w:top w:type="dxa" w:w="100"/>
              <w:left w:type="dxa" w:w="140"/>
              <w:bottom w:type="dxa" w:w="100"/>
              <w:right w:type="dxa" w:w="140"/>
            </w:tcMar>
            <w:vAlign w:val="center"/>
          </w:tcPr>
          <w:p>
            <w:pPr>
              <w:jc w:val="left"/>
            </w:pPr>
            <w:r>
              <w:rPr>
                <w:b/>
                <w:bCs/>
                <w:color w:val="FFFFFF"/>
                <w:sz w:val="19"/>
                <w:szCs w:val="19"/>
              </w:rPr>
              <w:t xml:space="preserve">Topology</w:t>
            </w:r>
          </w:p>
        </w:tc>
      </w:tr>
      <w:tr>
        <w:tc>
          <w:tcPr>
            <w:tcW w:type="dxa" w:w="1400"/>
            <w:tcMar>
              <w:top w:type="dxa" w:w="100"/>
              <w:left w:type="dxa" w:w="140"/>
              <w:bottom w:type="dxa" w:w="100"/>
              <w:right w:type="dxa" w:w="140"/>
            </w:tcMar>
            <w:vAlign w:val="center"/>
          </w:tcPr>
          <w:p>
            <w:pPr>
              <w:jc w:val="left"/>
            </w:pPr>
            <w:r>
              <w:rPr>
                <w:b w:val="false"/>
                <w:bCs w:val="false"/>
                <w:color w:val="222222"/>
                <w:sz w:val="19"/>
                <w:szCs w:val="19"/>
              </w:rPr>
              <w:t xml:space="preserve">BLE 5.0</w:t>
            </w:r>
          </w:p>
        </w:tc>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IEEE 802.15.1</w:t>
            </w:r>
          </w:p>
        </w:tc>
        <w:tc>
          <w:tcPr>
            <w:tcW w:type="dxa" w:w="1700"/>
            <w:tcMar>
              <w:top w:type="dxa" w:w="100"/>
              <w:left w:type="dxa" w:w="140"/>
              <w:bottom w:type="dxa" w:w="100"/>
              <w:right w:type="dxa" w:w="140"/>
            </w:tcMar>
            <w:vAlign w:val="center"/>
          </w:tcPr>
          <w:p>
            <w:pPr>
              <w:jc w:val="left"/>
            </w:pPr>
            <w:r>
              <w:rPr>
                <w:b w:val="false"/>
                <w:bCs w:val="false"/>
                <w:color w:val="222222"/>
                <w:sz w:val="19"/>
                <w:szCs w:val="19"/>
              </w:rPr>
              <w:t xml:space="preserve">2.4 GHz ISM</w:t>
            </w:r>
          </w:p>
        </w:tc>
        <w:tc>
          <w:tcPr>
            <w:tcW w:type="dxa" w:w="1450"/>
            <w:tcMar>
              <w:top w:type="dxa" w:w="100"/>
              <w:left w:type="dxa" w:w="140"/>
              <w:bottom w:type="dxa" w:w="100"/>
              <w:right w:type="dxa" w:w="140"/>
            </w:tcMar>
            <w:vAlign w:val="center"/>
          </w:tcPr>
          <w:p>
            <w:pPr>
              <w:jc w:val="left"/>
            </w:pPr>
            <w:r>
              <w:rPr>
                <w:b w:val="false"/>
                <w:bCs w:val="false"/>
                <w:color w:val="222222"/>
                <w:sz w:val="19"/>
                <w:szCs w:val="19"/>
              </w:rPr>
              <w:t xml:space="preserve">1–2 Mbps</w:t>
            </w:r>
          </w:p>
        </w:tc>
        <w:tc>
          <w:tcPr>
            <w:tcW w:type="dxa" w:w="1450"/>
            <w:tcMar>
              <w:top w:type="dxa" w:w="100"/>
              <w:left w:type="dxa" w:w="140"/>
              <w:bottom w:type="dxa" w:w="100"/>
              <w:right w:type="dxa" w:w="140"/>
            </w:tcMar>
            <w:vAlign w:val="center"/>
          </w:tcPr>
          <w:p>
            <w:pPr>
              <w:jc w:val="left"/>
            </w:pPr>
            <w:r>
              <w:rPr>
                <w:b w:val="false"/>
                <w:bCs w:val="false"/>
                <w:color w:val="222222"/>
                <w:sz w:val="19"/>
                <w:szCs w:val="19"/>
              </w:rPr>
              <w:t xml:space="preserve">Months–Years</w:t>
            </w:r>
          </w:p>
        </w:tc>
        <w:tc>
          <w:tcPr>
            <w:tcW w:type="dxa" w:w="1400"/>
            <w:tcMar>
              <w:top w:type="dxa" w:w="100"/>
              <w:left w:type="dxa" w:w="140"/>
              <w:bottom w:type="dxa" w:w="100"/>
              <w:right w:type="dxa" w:w="140"/>
            </w:tcMar>
            <w:vAlign w:val="center"/>
          </w:tcPr>
          <w:p>
            <w:pPr>
              <w:jc w:val="left"/>
            </w:pPr>
            <w:r>
              <w:rPr>
                <w:b w:val="false"/>
                <w:bCs w:val="false"/>
                <w:color w:val="222222"/>
                <w:sz w:val="19"/>
                <w:szCs w:val="19"/>
              </w:rPr>
              <w:t xml:space="preserve">Star / Mesh</w:t>
            </w:r>
          </w:p>
        </w:tc>
      </w:tr>
      <w:tr>
        <w:tc>
          <w:tcPr>
            <w:tcW w:type="dxa" w:w="1400"/>
            <w:tcMar>
              <w:top w:type="dxa" w:w="100"/>
              <w:left w:type="dxa" w:w="140"/>
              <w:bottom w:type="dxa" w:w="100"/>
              <w:right w:type="dxa" w:w="140"/>
            </w:tcMar>
            <w:vAlign w:val="center"/>
          </w:tcPr>
          <w:p>
            <w:pPr>
              <w:jc w:val="left"/>
            </w:pPr>
            <w:r>
              <w:rPr>
                <w:b w:val="false"/>
                <w:bCs w:val="false"/>
                <w:color w:val="222222"/>
                <w:sz w:val="19"/>
                <w:szCs w:val="19"/>
              </w:rPr>
              <w:t xml:space="preserve">Wi-Fi 4/5</w:t>
            </w:r>
          </w:p>
        </w:tc>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IEEE 802.11 b/g/n</w:t>
            </w:r>
          </w:p>
        </w:tc>
        <w:tc>
          <w:tcPr>
            <w:tcW w:type="dxa" w:w="1700"/>
            <w:tcMar>
              <w:top w:type="dxa" w:w="100"/>
              <w:left w:type="dxa" w:w="140"/>
              <w:bottom w:type="dxa" w:w="100"/>
              <w:right w:type="dxa" w:w="140"/>
            </w:tcMar>
            <w:vAlign w:val="center"/>
          </w:tcPr>
          <w:p>
            <w:pPr>
              <w:jc w:val="left"/>
            </w:pPr>
            <w:r>
              <w:rPr>
                <w:b w:val="false"/>
                <w:bCs w:val="false"/>
                <w:color w:val="222222"/>
                <w:sz w:val="19"/>
                <w:szCs w:val="19"/>
              </w:rPr>
              <w:t xml:space="preserve">2.4 / 5 GHz</w:t>
            </w:r>
          </w:p>
        </w:tc>
        <w:tc>
          <w:tcPr>
            <w:tcW w:type="dxa" w:w="1450"/>
            <w:tcMar>
              <w:top w:type="dxa" w:w="100"/>
              <w:left w:type="dxa" w:w="140"/>
              <w:bottom w:type="dxa" w:w="100"/>
              <w:right w:type="dxa" w:w="140"/>
            </w:tcMar>
            <w:vAlign w:val="center"/>
          </w:tcPr>
          <w:p>
            <w:pPr>
              <w:jc w:val="left"/>
            </w:pPr>
            <w:r>
              <w:rPr>
                <w:b w:val="false"/>
                <w:bCs w:val="false"/>
                <w:color w:val="222222"/>
                <w:sz w:val="19"/>
                <w:szCs w:val="19"/>
              </w:rPr>
              <w:t xml:space="preserve">54–433 Mbps</w:t>
            </w:r>
          </w:p>
        </w:tc>
        <w:tc>
          <w:tcPr>
            <w:tcW w:type="dxa" w:w="1450"/>
            <w:tcMar>
              <w:top w:type="dxa" w:w="100"/>
              <w:left w:type="dxa" w:w="140"/>
              <w:bottom w:type="dxa" w:w="100"/>
              <w:right w:type="dxa" w:w="140"/>
            </w:tcMar>
            <w:vAlign w:val="center"/>
          </w:tcPr>
          <w:p>
            <w:pPr>
              <w:jc w:val="left"/>
            </w:pPr>
            <w:r>
              <w:rPr>
                <w:b w:val="false"/>
                <w:bCs w:val="false"/>
                <w:color w:val="222222"/>
                <w:sz w:val="19"/>
                <w:szCs w:val="19"/>
              </w:rPr>
              <w:t xml:space="preserve">Days–Weeks</w:t>
            </w:r>
          </w:p>
        </w:tc>
        <w:tc>
          <w:tcPr>
            <w:tcW w:type="dxa" w:w="1400"/>
            <w:tcMar>
              <w:top w:type="dxa" w:w="100"/>
              <w:left w:type="dxa" w:w="140"/>
              <w:bottom w:type="dxa" w:w="100"/>
              <w:right w:type="dxa" w:w="140"/>
            </w:tcMar>
            <w:vAlign w:val="center"/>
          </w:tcPr>
          <w:p>
            <w:pPr>
              <w:jc w:val="left"/>
            </w:pPr>
            <w:r>
              <w:rPr>
                <w:b w:val="false"/>
                <w:bCs w:val="false"/>
                <w:color w:val="222222"/>
                <w:sz w:val="19"/>
                <w:szCs w:val="19"/>
              </w:rPr>
              <w:t xml:space="preserve">Star (AP)</w:t>
            </w:r>
          </w:p>
        </w:tc>
      </w:tr>
      <w:tr>
        <w:tc>
          <w:tcPr>
            <w:tcW w:type="dxa" w:w="1400"/>
            <w:tcMar>
              <w:top w:type="dxa" w:w="100"/>
              <w:left w:type="dxa" w:w="140"/>
              <w:bottom w:type="dxa" w:w="100"/>
              <w:right w:type="dxa" w:w="140"/>
            </w:tcMar>
            <w:vAlign w:val="center"/>
          </w:tcPr>
          <w:p>
            <w:pPr>
              <w:jc w:val="left"/>
            </w:pPr>
            <w:r>
              <w:rPr>
                <w:b w:val="false"/>
                <w:bCs w:val="false"/>
                <w:color w:val="222222"/>
                <w:sz w:val="19"/>
                <w:szCs w:val="19"/>
              </w:rPr>
              <w:t xml:space="preserve">Zigbee 3.0</w:t>
            </w:r>
          </w:p>
        </w:tc>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IEEE 802.15.4</w:t>
            </w:r>
          </w:p>
        </w:tc>
        <w:tc>
          <w:tcPr>
            <w:tcW w:type="dxa" w:w="1700"/>
            <w:tcMar>
              <w:top w:type="dxa" w:w="100"/>
              <w:left w:type="dxa" w:w="140"/>
              <w:bottom w:type="dxa" w:w="100"/>
              <w:right w:type="dxa" w:w="140"/>
            </w:tcMar>
            <w:vAlign w:val="center"/>
          </w:tcPr>
          <w:p>
            <w:pPr>
              <w:jc w:val="left"/>
            </w:pPr>
            <w:r>
              <w:rPr>
                <w:b w:val="false"/>
                <w:bCs w:val="false"/>
                <w:color w:val="222222"/>
                <w:sz w:val="19"/>
                <w:szCs w:val="19"/>
              </w:rPr>
              <w:t xml:space="preserve">2.4 GHz</w:t>
            </w:r>
          </w:p>
        </w:tc>
        <w:tc>
          <w:tcPr>
            <w:tcW w:type="dxa" w:w="1450"/>
            <w:tcMar>
              <w:top w:type="dxa" w:w="100"/>
              <w:left w:type="dxa" w:w="140"/>
              <w:bottom w:type="dxa" w:w="100"/>
              <w:right w:type="dxa" w:w="140"/>
            </w:tcMar>
            <w:vAlign w:val="center"/>
          </w:tcPr>
          <w:p>
            <w:pPr>
              <w:jc w:val="left"/>
            </w:pPr>
            <w:r>
              <w:rPr>
                <w:b w:val="false"/>
                <w:bCs w:val="false"/>
                <w:color w:val="222222"/>
                <w:sz w:val="19"/>
                <w:szCs w:val="19"/>
              </w:rPr>
              <w:t xml:space="preserve">250 kbps</w:t>
            </w:r>
          </w:p>
        </w:tc>
        <w:tc>
          <w:tcPr>
            <w:tcW w:type="dxa" w:w="1450"/>
            <w:tcMar>
              <w:top w:type="dxa" w:w="100"/>
              <w:left w:type="dxa" w:w="140"/>
              <w:bottom w:type="dxa" w:w="100"/>
              <w:right w:type="dxa" w:w="140"/>
            </w:tcMar>
            <w:vAlign w:val="center"/>
          </w:tcPr>
          <w:p>
            <w:pPr>
              <w:jc w:val="left"/>
            </w:pPr>
            <w:r>
              <w:rPr>
                <w:b w:val="false"/>
                <w:bCs w:val="false"/>
                <w:color w:val="222222"/>
                <w:sz w:val="19"/>
                <w:szCs w:val="19"/>
              </w:rPr>
              <w:t xml:space="preserve">Years</w:t>
            </w:r>
          </w:p>
        </w:tc>
        <w:tc>
          <w:tcPr>
            <w:tcW w:type="dxa" w:w="1400"/>
            <w:tcMar>
              <w:top w:type="dxa" w:w="100"/>
              <w:left w:type="dxa" w:w="140"/>
              <w:bottom w:type="dxa" w:w="100"/>
              <w:right w:type="dxa" w:w="140"/>
            </w:tcMar>
            <w:vAlign w:val="center"/>
          </w:tcPr>
          <w:p>
            <w:pPr>
              <w:jc w:val="left"/>
            </w:pPr>
            <w:r>
              <w:rPr>
                <w:b w:val="false"/>
                <w:bCs w:val="false"/>
                <w:color w:val="222222"/>
                <w:sz w:val="19"/>
                <w:szCs w:val="19"/>
              </w:rPr>
              <w:t xml:space="preserve">Mesh</w:t>
            </w:r>
          </w:p>
        </w:tc>
      </w:tr>
      <w:tr>
        <w:tc>
          <w:tcPr>
            <w:tcW w:type="dxa" w:w="1400"/>
            <w:tcMar>
              <w:top w:type="dxa" w:w="100"/>
              <w:left w:type="dxa" w:w="140"/>
              <w:bottom w:type="dxa" w:w="100"/>
              <w:right w:type="dxa" w:w="140"/>
            </w:tcMar>
            <w:vAlign w:val="center"/>
          </w:tcPr>
          <w:p>
            <w:pPr>
              <w:jc w:val="left"/>
            </w:pPr>
            <w:r>
              <w:rPr>
                <w:b w:val="false"/>
                <w:bCs w:val="false"/>
                <w:color w:val="222222"/>
                <w:sz w:val="19"/>
                <w:szCs w:val="19"/>
              </w:rPr>
              <w:t xml:space="preserve">LoRaWAN</w:t>
            </w:r>
          </w:p>
        </w:tc>
        <w:tc>
          <w:tcPr>
            <w:tcW w:type="dxa" w:w="2200"/>
            <w:tcMar>
              <w:top w:type="dxa" w:w="100"/>
              <w:left w:type="dxa" w:w="140"/>
              <w:bottom w:type="dxa" w:w="100"/>
              <w:right w:type="dxa" w:w="140"/>
            </w:tcMar>
            <w:vAlign w:val="center"/>
          </w:tcPr>
          <w:p>
            <w:pPr>
              <w:jc w:val="left"/>
            </w:pPr>
            <w:r>
              <w:rPr>
                <w:b w:val="false"/>
                <w:bCs w:val="false"/>
                <w:color w:val="222222"/>
                <w:sz w:val="19"/>
                <w:szCs w:val="19"/>
              </w:rPr>
              <w:t xml:space="preserve">Proprietary Chirp</w:t>
            </w:r>
          </w:p>
        </w:tc>
        <w:tc>
          <w:tcPr>
            <w:tcW w:type="dxa" w:w="1700"/>
            <w:tcMar>
              <w:top w:type="dxa" w:w="100"/>
              <w:left w:type="dxa" w:w="140"/>
              <w:bottom w:type="dxa" w:w="100"/>
              <w:right w:type="dxa" w:w="140"/>
            </w:tcMar>
            <w:vAlign w:val="center"/>
          </w:tcPr>
          <w:p>
            <w:pPr>
              <w:jc w:val="left"/>
            </w:pPr>
            <w:r>
              <w:rPr>
                <w:b w:val="false"/>
                <w:bCs w:val="false"/>
                <w:color w:val="222222"/>
                <w:sz w:val="19"/>
                <w:szCs w:val="19"/>
              </w:rPr>
              <w:t xml:space="preserve">Sub-GHz (915 MHz)</w:t>
            </w:r>
          </w:p>
        </w:tc>
        <w:tc>
          <w:tcPr>
            <w:tcW w:type="dxa" w:w="1450"/>
            <w:tcMar>
              <w:top w:type="dxa" w:w="100"/>
              <w:left w:type="dxa" w:w="140"/>
              <w:bottom w:type="dxa" w:w="100"/>
              <w:right w:type="dxa" w:w="140"/>
            </w:tcMar>
            <w:vAlign w:val="center"/>
          </w:tcPr>
          <w:p>
            <w:pPr>
              <w:jc w:val="left"/>
            </w:pPr>
            <w:r>
              <w:rPr>
                <w:b w:val="false"/>
                <w:bCs w:val="false"/>
                <w:color w:val="222222"/>
                <w:sz w:val="19"/>
                <w:szCs w:val="19"/>
              </w:rPr>
              <w:t xml:space="preserve">0.3–50 kbps</w:t>
            </w:r>
          </w:p>
        </w:tc>
        <w:tc>
          <w:tcPr>
            <w:tcW w:type="dxa" w:w="1450"/>
            <w:tcMar>
              <w:top w:type="dxa" w:w="100"/>
              <w:left w:type="dxa" w:w="140"/>
              <w:bottom w:type="dxa" w:w="100"/>
              <w:right w:type="dxa" w:w="140"/>
            </w:tcMar>
            <w:vAlign w:val="center"/>
          </w:tcPr>
          <w:p>
            <w:pPr>
              <w:jc w:val="left"/>
            </w:pPr>
            <w:r>
              <w:rPr>
                <w:b w:val="false"/>
                <w:bCs w:val="false"/>
                <w:color w:val="222222"/>
                <w:sz w:val="19"/>
                <w:szCs w:val="19"/>
              </w:rPr>
              <w:t xml:space="preserve">5–10 Years</w:t>
            </w:r>
          </w:p>
        </w:tc>
        <w:tc>
          <w:tcPr>
            <w:tcW w:type="dxa" w:w="1400"/>
            <w:tcMar>
              <w:top w:type="dxa" w:w="100"/>
              <w:left w:type="dxa" w:w="140"/>
              <w:bottom w:type="dxa" w:w="100"/>
              <w:right w:type="dxa" w:w="140"/>
            </w:tcMar>
            <w:vAlign w:val="center"/>
          </w:tcPr>
          <w:p>
            <w:pPr>
              <w:jc w:val="left"/>
            </w:pPr>
            <w:r>
              <w:rPr>
                <w:b w:val="false"/>
                <w:bCs w:val="false"/>
                <w:color w:val="222222"/>
                <w:sz w:val="19"/>
                <w:szCs w:val="19"/>
              </w:rPr>
              <w:t xml:space="preserve">Star-of-Stars</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Page </w:t>
    </w:r>
    <w:r>
      <w:rPr>
        <w:color w:val="5A6472"/>
        <w:sz w:val="16"/>
        <w:szCs w:val="16"/>
      </w:rPr>
      <w:fldChar w:fldCharType="begin"/>
      <w:instrText xml:space="preserve">PAGE</w:instrText>
      <w:fldChar w:fldCharType="separate"/>
      <w:fldChar w:fldCharType="end"/>
    </w:r>
    <w:r>
      <w:rPr>
        <w:color w:val="5A6472"/>
        <w:sz w:val="16"/>
        <w:szCs w:val="16"/>
      </w:rPr>
      <w:t xml:space="preserve"> of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0" w:sz="4" w:space="4"/>
      </w:pBdr>
      <w:tabs>
        <w:tab w:val="right" w:pos="9026"/>
      </w:tabs>
    </w:pPr>
    <w:r>
      <w:rPr>
        <w:color w:val="5A6472"/>
        <w:sz w:val="16"/>
        <w:szCs w:val="16"/>
      </w:rPr>
      <w:t xml:space="preserve">TECH 300 – IoT Demo System Design Document</w:t>
    </w:r>
    <w:r>
      <w:rPr>
        <w:color w:val="5A6472"/>
        <w:sz w:val="16"/>
        <w:szCs w:val="16"/>
      </w:rPr>
      <w:t xml:space="preserve">	Westcliff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efa2308dbe3de3f5cc0e47fd91083a5efd17681.png"/><Relationship Id="rId10" Type="http://schemas.openxmlformats.org/officeDocument/2006/relationships/image" Target="media/ef2f3ba13d98a33d83ae649c6304b90785c4a752.png"/><Relationship Id="rId11" Type="http://schemas.openxmlformats.org/officeDocument/2006/relationships/image" Target="media/2185f553462059c772c8fa354b66d3b51e28a619.png"/><Relationship Id="rId12" Type="http://schemas.openxmlformats.org/officeDocument/2006/relationships/image" Target="media/80826effc3687aa5ce79f92b0e56d48c970236bf.png"/><Relationship Id="rId13" Type="http://schemas.openxmlformats.org/officeDocument/2006/relationships/image" Target="media/929b91713e228dc4961b2a1c2cfcdeadb16289dd.png"/><Relationship Id="rId14" Type="http://schemas.openxmlformats.org/officeDocument/2006/relationships/image" Target="media/212754c3a2afda93ac9e2df0e9cec95144f5ed6b.png"/><Relationship Id="rId15" Type="http://schemas.openxmlformats.org/officeDocument/2006/relationships/image" Target="media/b838c410dabf1a3cc3514f8c63260f5c0354fdde.png"/><Relationship Id="rId16" Type="http://schemas.openxmlformats.org/officeDocument/2006/relationships/image" Target="media/f97684a38fd0e85db730085cf7b59b3c9ff9595c.png"/><Relationship Id="rId17" Type="http://schemas.openxmlformats.org/officeDocument/2006/relationships/image" Target="media/0dccf850a04119ef42755cb87739f5e8194e2dd4.png"/><Relationship Id="rId18" Type="http://schemas.openxmlformats.org/officeDocument/2006/relationships/image" Target="media/299d449f18cf74d5e035b3d78b5792b768661e9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2026-09-08T19:12:40.703Z</dcterms:created>
  <dcterms:modified xsi:type="dcterms:W3CDTF">2026-09-08T19:12:40.703Z</dcterms:modified>
</cp:coreProperties>
</file>

<file path=docProps/custom.xml><?xml version="1.0" encoding="utf-8"?>
<Properties xmlns="http://schemas.openxmlformats.org/officeDocument/2006/custom-properties" xmlns:vt="http://schemas.openxmlformats.org/officeDocument/2006/docPropsVTypes"/>
</file>