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督察APP 原型标准与评分</w:t>
      </w:r>
    </w:p>
    <w:p>
      <w:r>
        <w:rPr>
          <w:rFonts w:ascii="宋体" w:hAnsi="宋体" w:eastAsia="宋体"/>
        </w:rPr>
        <w:t>本文约定可点击原型的</w:t>
      </w:r>
      <w:r>
        <w:rPr>
          <w:rFonts w:ascii="宋体" w:hAnsi="宋体" w:eastAsia="宋体"/>
          <w:b/>
        </w:rPr>
        <w:t>通用验收标准</w:t>
      </w:r>
      <w:r>
        <w:rPr>
          <w:rFonts w:ascii="宋体" w:hAnsi="宋体" w:eastAsia="宋体"/>
        </w:rPr>
        <w:t>与</w:t>
      </w:r>
      <w:r>
        <w:rPr>
          <w:rFonts w:ascii="宋体" w:hAnsi="宋体" w:eastAsia="宋体"/>
          <w:b/>
        </w:rPr>
        <w:t>评分方法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  <w:b/>
        </w:rPr>
        <w:t>实现方式不限</w:t>
      </w:r>
      <w:r>
        <w:rPr>
          <w:rFonts w:ascii="宋体" w:hAnsi="宋体" w:eastAsia="宋体"/>
        </w:rPr>
        <w:t>（高保真可点击稿、前端工程、低代码等均可），但须可交互、可走通主路径；</w:t>
      </w:r>
      <w:r>
        <w:rPr>
          <w:rFonts w:ascii="宋体" w:hAnsi="宋体" w:eastAsia="宋体"/>
          <w:b/>
        </w:rPr>
        <w:t>不得以静态效果图或纯示意稿代替</w:t>
      </w:r>
      <w:r>
        <w:rPr>
          <w:rFonts w:ascii="宋体" w:hAnsi="宋体" w:eastAsia="宋体"/>
        </w:rPr>
        <w:t>。</w:t>
      </w:r>
    </w:p>
    <w:p>
      <w:pPr>
        <w:pStyle w:val="Heading1"/>
      </w:pPr>
      <w:r>
        <w:rPr>
          <w:rFonts w:ascii="黑体" w:hAnsi="黑体" w:eastAsia="黑体"/>
        </w:rPr>
        <w:t>一、原型标准</w:t>
      </w:r>
    </w:p>
    <w:p>
      <w:pPr>
        <w:pStyle w:val="Heading2"/>
      </w:pPr>
      <w:r>
        <w:rPr>
          <w:rFonts w:ascii="黑体" w:hAnsi="黑体" w:eastAsia="黑体"/>
        </w:rPr>
        <w:t>交付形态</w:t>
      </w:r>
    </w:p>
    <w:p>
      <w:r>
        <w:rPr>
          <w:rFonts w:ascii="宋体" w:hAnsi="宋体" w:eastAsia="宋体"/>
        </w:rPr>
        <w:t>完整可交互原型（非静态图）。列表、详情一律按</w:t>
      </w:r>
      <w:r>
        <w:rPr>
          <w:rFonts w:ascii="宋体" w:hAnsi="宋体" w:eastAsia="宋体"/>
          <w:b/>
        </w:rPr>
        <w:t>有样例数据</w:t>
      </w:r>
      <w:r>
        <w:rPr>
          <w:rFonts w:ascii="宋体" w:hAnsi="宋体" w:eastAsia="宋体"/>
        </w:rPr>
        <w:t>出稿；</w:t>
      </w:r>
      <w:r>
        <w:rPr>
          <w:rFonts w:ascii="宋体" w:hAnsi="宋体" w:eastAsia="宋体"/>
          <w:b/>
        </w:rPr>
        <w:t>不考核空态、加载失败，也不要求动态增删改列表数据</w:t>
      </w:r>
      <w:r>
        <w:rPr>
          <w:rFonts w:ascii="宋体" w:hAnsi="宋体" w:eastAsia="宋体"/>
        </w:rPr>
        <w:t>——点通跳转与表单态即可。</w:t>
      </w:r>
    </w:p>
    <w:p>
      <w:pPr>
        <w:pStyle w:val="Heading2"/>
      </w:pPr>
      <w:r>
        <w:rPr>
          <w:rFonts w:ascii="黑体" w:hAnsi="黑体" w:eastAsia="黑体"/>
        </w:rPr>
        <w:t>1.1 导航与信息架构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底栏结构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底栏入口与说明书一致；当前页高亮正确；可进行功能页面切换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返回路径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二级页须有明确返回，能返回到正确的页面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页面标题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页面标题不变，与需求一致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共用页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多入口进入的同一页面，布局与字段集合一致，仅允许因模式（新增 / 编辑 / 只读 / 审核）产生控件可编辑差异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1.2 布局与视觉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安全区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适配刘海屏 / 底部横条；主操作不被系统手势区遮挡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对齐与间距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同级卡片、表单项左右边距与行距统一；列表卡片信息不溢出、不重叠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对比度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正文与背景对比清晰；次要文案可弱化但须可辨认；状态色（待办 / 超期 / 高风险等）语义稳定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风格克制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政务场景避免过度装饰、强营销风动效；主色、辅色、警示色全 App 统一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图标与文案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图标含义可识别；禁止仅用颜色区分关键状态，须配合文字或图标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视觉层级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标题 / 正文 / 辅助信息 / 操作区层级清楚，首屏重点一目了然，避免信息糊成一片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组件质感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按钮、卡片、标签、分割线规格统一；圆角、描边、阴影克制且全 App 一致，无「临时拼凑」感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样式美观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在可辨认、可用的前提下，版式干净、配色协调、疏密得当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1.3 列表、筛选与搜索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搜索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占位文案说明可搜字段；清空、重新搜索行为明确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筛选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取消 / 重置 / 确定齐全；重置后条件恢复默认；确定后列表与条件标签（若有）一致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卡片操作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操作按钮文案与说明书一致；点击热区足够（建议不小于约 44×44 pt）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1.4 表单与详情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必填标识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必填项有统一标识；提交时未填项有定位或汇总提示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校验反馈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格式错误、超长、字典未选等即时或提交时提示，文案可读、可定位到字段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选择器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日期、字典、区划、人员等选择器支持取消；已选值回显正确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只读 / 编辑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审核态、详情态控件不可误改；编辑态可改字段与说明书一致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长文本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超长内容可展开 / 收起或可滚动，不截断至无法阅读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1.5 反馈、确认与流程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操作反馈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提交、保存、删除、通过 / 驳回等须有成功反馈（Toast / 对话框）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危险操作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删除、撤回、驳回等须二次确认；确认框写清后果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审核流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通过 / 驳回等意见类字段按规则必填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加载态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首屏与提交过程有加载指示，防止重复连点导致重复提交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1.6 内容、合规与安全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术语统一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同一业务对象名称全 App 一致（如「督导 / 核查」「办结 / 完成」不混用）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敏感信息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手机号、证件号等按产品规则脱敏；截图与演示数据不得使用真实敏感信息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外链与文件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打开外链、下载或预览文件前，来源与类型可识别；失败有提示</w:t>
            </w:r>
          </w:p>
        </w:tc>
      </w:tr>
    </w:tbl>
    <w:p/>
    <w:p>
      <w:pPr>
        <w:ind w:left="283"/>
      </w:pPr>
      <w:r>
        <w:rPr>
          <w:rFonts w:ascii="宋体" w:hAnsi="宋体" w:eastAsia="宋体"/>
          <w:i/>
          <w:color w:val="555555"/>
        </w:rPr>
        <w:t>说明：§1.6 纳入交付约定，但</w:t>
      </w:r>
      <w:r>
        <w:rPr>
          <w:rFonts w:ascii="宋体" w:hAnsi="宋体" w:eastAsia="宋体"/>
          <w:b/>
          <w:i/>
          <w:color w:val="555555"/>
        </w:rPr>
        <w:t>不纳入下文评分表</w:t>
      </w:r>
      <w:r>
        <w:rPr>
          <w:rFonts w:ascii="宋体" w:hAnsi="宋体" w:eastAsia="宋体"/>
          <w:i/>
          <w:color w:val="555555"/>
        </w:rPr>
        <w:t>。</w:t>
      </w:r>
    </w:p>
    <w:p>
      <w:pPr>
        <w:pStyle w:val="Heading2"/>
      </w:pPr>
      <w:r>
        <w:rPr>
          <w:rFonts w:ascii="黑体" w:hAnsi="黑体" w:eastAsia="黑体"/>
        </w:rPr>
        <w:t>1.7 兼容与交付物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机型尺寸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固定逻辑视口 </w:t>
            </w:r>
            <w:r>
              <w:rPr>
                <w:rFonts w:ascii="宋体" w:hAnsi="宋体" w:eastAsia="宋体"/>
                <w:b/>
                <w:sz w:val="20"/>
              </w:rPr>
              <w:t>360 × 780</w:t>
            </w:r>
            <w:r>
              <w:rPr>
                <w:rFonts w:ascii="宋体" w:hAnsi="宋体" w:eastAsia="宋体"/>
                <w:sz w:val="20"/>
              </w:rPr>
              <w:t>（CSS px）出原型与验收；不要求多机型适配；横屏非必须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可点击交付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完整可点击原型；入口、跳转、弹层须可点到；列表 / 详情固定有样例数据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验收对照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业务验收以需求说明书操作线与字段表为准；本章用于卡通用体验与政务类底线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1.8 验收边界</w:t>
      </w:r>
    </w:p>
    <w:p>
      <w:pPr>
        <w:pStyle w:val="ListBullet"/>
      </w:pPr>
      <w:r>
        <w:rPr>
          <w:rFonts w:ascii="宋体" w:hAnsi="宋体" w:eastAsia="宋体"/>
          <w:b/>
        </w:rPr>
        <w:t>纳入</w:t>
      </w:r>
      <w:r>
        <w:rPr>
          <w:rFonts w:ascii="宋体" w:hAnsi="宋体" w:eastAsia="宋体"/>
        </w:rPr>
        <w:t>：问题 / 督察 / 地图 / 支持主流程页面的结构、字段、操作（有数据态）。</w:t>
      </w:r>
    </w:p>
    <w:p>
      <w:pPr>
        <w:pStyle w:val="ListBullet"/>
      </w:pPr>
      <w:r>
        <w:rPr>
          <w:rFonts w:ascii="宋体" w:hAnsi="宋体" w:eastAsia="宋体"/>
          <w:b/>
        </w:rPr>
        <w:t>不纳入（除非另立需求）</w:t>
      </w:r>
      <w:r>
        <w:rPr>
          <w:rFonts w:ascii="宋体" w:hAnsi="宋体" w:eastAsia="宋体"/>
        </w:rPr>
        <w:t>：空态 / 加载失败 / 动态数据变更、登录注册、「我的」、消息推送策略、性能压测指标、无障碍适老化专项（可另附专项标准）。</w:t>
      </w:r>
    </w:p>
    <w:p>
      <w:pPr>
        <w:pStyle w:val="ListBullet"/>
      </w:pPr>
      <w:r>
        <w:rPr>
          <w:rFonts w:ascii="宋体" w:hAnsi="宋体" w:eastAsia="宋体"/>
          <w:b/>
        </w:rPr>
        <w:t>截图说明</w:t>
      </w:r>
      <w:r>
        <w:rPr>
          <w:rFonts w:ascii="宋体" w:hAnsi="宋体" w:eastAsia="宋体"/>
        </w:rPr>
        <w:t>：需求说明书中旧版截图仅作界面佐证；与现行结构冲突时，以源码与字段表为准。</w:t>
      </w:r>
    </w:p>
    <w:p>
      <w:pPr>
        <w:pStyle w:val="Heading1"/>
      </w:pPr>
      <w:r>
        <w:rPr>
          <w:rFonts w:ascii="黑体" w:hAnsi="黑体" w:eastAsia="黑体"/>
        </w:rPr>
        <w:t>二、评分标准</w:t>
      </w:r>
    </w:p>
    <w:p>
      <w:r>
        <w:rPr>
          <w:rFonts w:ascii="宋体" w:hAnsi="宋体" w:eastAsia="宋体"/>
        </w:rPr>
        <w:t xml:space="preserve">总分 </w:t>
      </w:r>
      <w:r>
        <w:rPr>
          <w:rFonts w:ascii="宋体" w:hAnsi="宋体" w:eastAsia="宋体"/>
          <w:b/>
        </w:rPr>
        <w:t>100</w:t>
      </w:r>
      <w:r>
        <w:rPr>
          <w:rFonts w:ascii="宋体" w:hAnsi="宋体" w:eastAsia="宋体"/>
        </w:rPr>
        <w:t>＝</w:t>
      </w:r>
      <w:r>
        <w:rPr>
          <w:rFonts w:ascii="宋体" w:hAnsi="宋体" w:eastAsia="宋体"/>
          <w:b/>
        </w:rPr>
        <w:t>功能评分 80</w:t>
      </w:r>
      <w:r>
        <w:rPr>
          <w:rFonts w:ascii="宋体" w:hAnsi="宋体" w:eastAsia="宋体"/>
        </w:rPr>
        <w:t xml:space="preserve"> + </w:t>
      </w:r>
      <w:r>
        <w:rPr>
          <w:rFonts w:ascii="宋体" w:hAnsi="宋体" w:eastAsia="宋体"/>
          <w:b/>
        </w:rPr>
        <w:t>设计评分 20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计分：实得＝满分 − 扣分；有档位先定 L3～L0（默认从严，无充分理由不给 L3）。</w:t>
      </w:r>
    </w:p>
    <w:p>
      <w:r>
        <w:rPr>
          <w:rFonts w:ascii="宋体" w:hAnsi="宋体" w:eastAsia="宋体"/>
        </w:rPr>
        <w:t>等级：优秀 90–100 · 良好 80–89 · 合格 70–79 · 不合格 ＜70（建议 ≥80 进入下一阶段）。</w:t>
      </w:r>
    </w:p>
    <w:p>
      <w:r>
        <w:rPr>
          <w:rFonts w:ascii="宋体" w:hAnsi="宋体" w:eastAsia="宋体"/>
        </w:rPr>
        <w:t>列表 / 详情固定有样例数据；不考空态、加载失败、动态列表变更、失败反馈、加载态、§1.6。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部分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满分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评什么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一、功能评分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按业务功能一次性评页 / 路径 / 字段与体验；可点击交付与样例数据；粗粒度布局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二、设计评分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导航架构、布局与视觉、机型与验收对照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合计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100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第一部分：功能评分（80 分）</w:t>
      </w:r>
    </w:p>
    <w:p>
      <w:r>
        <w:rPr>
          <w:rFonts w:ascii="宋体" w:hAnsi="宋体" w:eastAsia="宋体"/>
        </w:rPr>
        <w:t xml:space="preserve">说明书标「不要求」的页型 </w:t>
      </w:r>
      <w:r>
        <w:rPr>
          <w:rFonts w:ascii="宋体" w:hAnsi="宋体" w:eastAsia="宋体"/>
          <w:b/>
        </w:rPr>
        <w:t>不考、不扣分</w:t>
      </w:r>
      <w:r>
        <w:rPr>
          <w:rFonts w:ascii="宋体" w:hAnsi="宋体" w:eastAsia="宋体"/>
        </w:rPr>
        <w:t>。有数据态下可点通即可；不要求提交后列表真变。</w:t>
      </w:r>
    </w:p>
    <w:p>
      <w:pPr>
        <w:pStyle w:val="Heading2"/>
      </w:pPr>
      <w:r>
        <w:rPr>
          <w:rFonts w:ascii="黑体" w:hAnsi="黑体" w:eastAsia="黑体"/>
        </w:rPr>
        <w:t>分项一览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评分项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满分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P1.1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问题·清单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列表 / 搜索 / 详情 / 督导表单 / 操作（含筛选与表单体验）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P1.2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问题·线索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列表 / 搜索 / 详情 / 表单 / 删除·提交·撤回 / 现场核查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P1.3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问题·督察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列表 / 搜索 / 详情 / 操作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P1.4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督察·督导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列表 / 表单入口路径 / 列表操作（含危险确认）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P1.5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地图与支持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地图 / 浮层字段 / 资源列表与检索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P3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可点击交付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主路径可点、有样例数据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UI 布局合理性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粗粒度布局 / 样式是否统一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合计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80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P1.1 问题·清单 · 16 分</w:t>
      </w:r>
    </w:p>
    <w:p>
      <w:r>
        <w:rPr>
          <w:rFonts w:ascii="宋体" w:hAnsi="宋体" w:eastAsia="宋体"/>
        </w:rPr>
        <w:t>现场核查、督察侧「发起督导」打开的督导表单与本项「督导表单」为同一页，不另计分。</w:t>
      </w:r>
    </w:p>
    <w:p>
      <w:pPr>
        <w:pStyle w:val="Heading3"/>
      </w:pPr>
      <w:r>
        <w:rPr>
          <w:rFonts w:ascii="黑体" w:hAnsi="黑体" w:eastAsia="黑体"/>
        </w:rPr>
        <w:t>清单问题列表 · 1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可进入清单问题列表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无此页或无法进入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搜索与更多条件 · 4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可打开搜索条件；搜索框有占位文案说明可搜字段；清空、重新搜索行为明确；更多条件字段齐全；底部有取消、重置、确定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2～3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可打开，但缺占位文案、清空/再搜行为、条件字段或取消/重置/确定之一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无搜索条件入口，或入口不可用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问题管理（详情）· 3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可进入问题详情；整改信息下可进入措施详情或进展反馈；超长文本可滚动或展开/收起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可进详情，但措施详情/进展反馈进不去，或超长文本被截断无法读完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无详情页或无法进入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督导表单 · 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可进入表单；应有字段齐全；必填项有标识，未填提交时有提示；选择器可取消且已选值回显正确；有校验提示；提交/保存有成功反馈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3～4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可进入且能提交或保存，但缺：必填标识、未填提示、选择器取消/回显、校验提示、成功反馈中的一项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可进入，但应有字段缺多项，或上述体验要求缺两项及以上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无表单页或无法进入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列表操作 · 3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「问题管理」「发起督导」均可点击进入对应页；文案正确；可点区域足够大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两个入口都能点，但文案错误或可点区域过小；或只有其中一个可点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两个入口都不可用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P1.2 问题·线索 · 17 分</w:t>
      </w:r>
    </w:p>
    <w:p>
      <w:r>
        <w:rPr>
          <w:rFonts w:ascii="宋体" w:hAnsi="宋体" w:eastAsia="宋体"/>
        </w:rPr>
        <w:t>「现场核查」打开的督导表单页本身已在 P1.1 计分；本项另考该入口是否可点。</w:t>
      </w:r>
    </w:p>
    <w:p>
      <w:pPr>
        <w:pStyle w:val="Heading3"/>
      </w:pPr>
      <w:r>
        <w:rPr>
          <w:rFonts w:ascii="黑体" w:hAnsi="黑体" w:eastAsia="黑体"/>
        </w:rPr>
        <w:t>线索列表 · 1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可进入线索问题列表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无此页或无法进入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搜索与更多条件 · 3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可打开搜索条件；搜索框有占位文案；清空、重新搜索行为明确；更多条件字段齐全；有取消、重置、确定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可打开，但缺占位文案、清空/再搜、条件字段或取消/重置/确定之一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无入口或不可用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线索详情 · 3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列表「查看」可进入详情；超长文本可滚动或展开/收起；详情为只读，控件不可误改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可进详情，但超长文本截断无法读完，或详情里控件仍可误改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无详情或「查看」断链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线索表单（新增 / 修改同页）· 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新增入口与草稿「修改」均可进入同一套表单；应有字段齐全；必填有标识且未填有提示；选择器可取消且回显正确；校验提示可读；提交/保存有成功反馈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3～4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新增与修改均可进入，但字段不齐，或缺必填标识、未填提示、选择器取消/回显、校验提示、成功反馈中的一项或多项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仅新增或仅修改可进入；或字段/表单能力严重缺失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无表单页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列表操作（删除 / 提交 / 撤回）· 3 分</w:t>
      </w:r>
    </w:p>
    <w:p>
      <w:r>
        <w:rPr>
          <w:rFonts w:ascii="宋体" w:hAnsi="宋体" w:eastAsia="宋体"/>
        </w:rPr>
        <w:t>查看、新增、修改已在「线索详情」「线索表单」计分，本项只评列表内这三项操作。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草稿可「删除」「提交」；已提交可「撤回」；均可点击；删除与撤回有二次确认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三个操作均可点，但删除或撤回无二次确认；或仅部分可点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三个操作均不可用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现场核查入口 · 2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已提交线索卡片上「现场核查」可点击，并打开督导表单（与 P1.1 同一套页）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无入口或不可点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P1.3 问题·督察 · 7 分</w:t>
      </w:r>
    </w:p>
    <w:p>
      <w:r>
        <w:rPr>
          <w:rFonts w:ascii="宋体" w:hAnsi="宋体" w:eastAsia="宋体"/>
        </w:rPr>
        <w:t>「发起督导」打开的督导表单已在 P1.1 计分，本项不另计。</w:t>
      </w:r>
    </w:p>
    <w:p>
      <w:pPr>
        <w:pStyle w:val="Heading3"/>
      </w:pPr>
      <w:r>
        <w:rPr>
          <w:rFonts w:ascii="黑体" w:hAnsi="黑体" w:eastAsia="黑体"/>
        </w:rPr>
        <w:t>督察问题列表 · 1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可进入督察问题列表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无此页或无法进入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搜索与更多条件 · 3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可打开搜索条件；搜索框有占位文案；清空、重新搜索行为明确；更多条件字段齐全；有取消、重置、确定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可打开，但缺占位文案、清空/再搜、条件字段或取消/重置/确定之一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无入口或不可用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督察问题详情 · 2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至少能进入 1 类督察详情；超长文本可滚动或展开/收起；详情为只读，控件不可误改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可进详情，但超长文本截断，或详情控件可误改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无详情或无法进入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列表操作 · 1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「查看」「发起督导」均可点击；文案正确；可点区域足够大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「查看」或「发起督导」不可用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P1.4 督察·督导 · 13 分</w:t>
      </w:r>
    </w:p>
    <w:p>
      <w:r>
        <w:rPr>
          <w:rFonts w:ascii="宋体" w:hAnsi="宋体" w:eastAsia="宋体"/>
        </w:rPr>
        <w:t>督导表单页已在 P1.1 计分；本项只评督导列表及从列表进入表单的路径。交办、督办、资料调阅、问责与督导同一套，不另计分。不要求督导「更多筛选条件」弹层。</w:t>
      </w:r>
    </w:p>
    <w:p>
      <w:pPr>
        <w:pStyle w:val="Heading3"/>
      </w:pPr>
      <w:r>
        <w:rPr>
          <w:rFonts w:ascii="黑体" w:hAnsi="黑体" w:eastAsia="黑体"/>
        </w:rPr>
        <w:t>督导列表 · 4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有督导列表（进入后默认可落在督导 Tab）；有搜索框，占位文案说明可搜内容，清空与重新搜索行为明确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2～3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有列表，但无搜索框，或有搜索但占位不明、清空/再搜行为不清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无督导列表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详情 / 编辑 / 新增路径 · 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「详情」「编辑」、新增入口均可打开督导表单；详情为只读、编辑可改；提交有成功反馈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3～4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「详情」「编辑」、新增入口中至少有两个可点，但只读/编辑态弄反，或提交无成功反馈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三个入口中仅部分可点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三个入口均不可用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列表操作 · 4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「提交审核」「删除」可点击；文案正确；删除有二次确认；可点区域足够大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2～3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均可点击，但删除无二次确认，或文案错误，或可点区域过小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0～1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「提交审核」或「删除」缺失或不可用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P1.5 地图与支持 · 9 分</w:t>
      </w:r>
    </w:p>
    <w:p>
      <w:pPr>
        <w:pStyle w:val="Heading3"/>
      </w:pPr>
      <w:r>
        <w:rPr>
          <w:rFonts w:ascii="黑体" w:hAnsi="黑体" w:eastAsia="黑体"/>
        </w:rPr>
        <w:t>督察地图 · 1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可进入督察地图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无此页或无法进入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地图详情浮层 · 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点选点位可打开浮层；应有字段齐全且样例值均有内容；超长文本可滚动或展开/收起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3～4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可打开浮层，但缺 1～2 个字段或字段值为空，或超长文本截断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无浮层、点选无反应，或缺 3 个及以上字段/样例值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支持·资源列表 · 3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可进入资源列表；有搜索框，占位文案明确，清空与重新搜索行为明确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1～2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有列表，但无搜索，或有搜索但占位不明、清空/再搜不清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无资源列表或无法进入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P3. 可点击交付 · 3 分</w:t>
      </w:r>
    </w:p>
    <w:p>
      <w:r>
        <w:rPr>
          <w:rFonts w:ascii="宋体" w:hAnsi="宋体" w:eastAsia="宋体"/>
        </w:rPr>
        <w:t>某一入口若已在上方业务项因「不可点」扣过分，本项不再因同一入口重复扣分。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各业务主路径可点击走通；列表与详情有样例数据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全库仅有 1～2 处死链（点击无跳转或无反应）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0～1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有 3 处及以上死链，或多数主路径不可点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P2. UI 布局合理性（15 分）</w:t>
      </w:r>
    </w:p>
    <w:p>
      <w:r>
        <w:rPr>
          <w:rFonts w:ascii="宋体" w:hAnsi="宋体" w:eastAsia="宋体"/>
        </w:rPr>
        <w:t>评：</w:t>
      </w:r>
      <w:r>
        <w:rPr>
          <w:rFonts w:ascii="宋体" w:hAnsi="宋体" w:eastAsia="宋体"/>
          <w:b/>
        </w:rPr>
        <w:t>所有已交付页面</w:t>
      </w:r>
      <w:r>
        <w:rPr>
          <w:rFonts w:ascii="宋体" w:hAnsi="宋体" w:eastAsia="宋体"/>
        </w:rPr>
        <w:t>布局骨架与基础样式是否统一（列表 / 表单 / 详情成体系）。</w:t>
      </w:r>
    </w:p>
    <w:p>
      <w:r>
        <w:rPr>
          <w:rFonts w:ascii="宋体" w:hAnsi="宋体" w:eastAsia="宋体"/>
        </w:rPr>
        <w:t>与「设计评分·布局与视觉（B）」分工：本项只看</w:t>
      </w:r>
      <w:r>
        <w:rPr>
          <w:rFonts w:ascii="宋体" w:hAnsi="宋体" w:eastAsia="宋体"/>
          <w:b/>
        </w:rPr>
        <w:t>粗粒度是否统一、能否当同一产品</w:t>
      </w:r>
      <w:r>
        <w:rPr>
          <w:rFonts w:ascii="宋体" w:hAnsi="宋体" w:eastAsia="宋体"/>
        </w:rPr>
        <w:t>；细项（安全区、对比度、美观档位等）放 B。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列表、表单、详情等页面布局与基础样式统一，看不出两套产品皮肤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大部分统一，但有个别页面布局或样式明显另一套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多页风格各异，仍能浏览使用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页面拼凑感强，难以视为同一产品</w:t>
            </w:r>
          </w:p>
        </w:tc>
      </w:tr>
    </w:tbl>
    <w:p/>
    <w:p>
      <w:r>
        <w:rPr>
          <w:rFonts w:ascii="宋体" w:hAnsi="宋体" w:eastAsia="宋体"/>
          <w:b/>
        </w:rPr>
        <w:t>功能评分小计校验</w:t>
      </w:r>
      <w:r>
        <w:rPr>
          <w:rFonts w:ascii="宋体" w:hAnsi="宋体" w:eastAsia="宋体"/>
        </w:rPr>
        <w:t xml:space="preserve">：P1.1～P1.5（62）+ P3 3 + P2 15 ＝ </w:t>
      </w:r>
      <w:r>
        <w:rPr>
          <w:rFonts w:ascii="宋体" w:hAnsi="宋体" w:eastAsia="宋体"/>
          <w:b/>
        </w:rPr>
        <w:t>80</w:t>
      </w:r>
      <w:r>
        <w:rPr>
          <w:rFonts w:ascii="宋体" w:hAnsi="宋体" w:eastAsia="宋体"/>
        </w:rPr>
        <w:t>。</w:t>
      </w:r>
    </w:p>
    <w:p>
      <w:pPr>
        <w:pStyle w:val="Heading1"/>
      </w:pPr>
      <w:r>
        <w:rPr>
          <w:rFonts w:ascii="黑体" w:hAnsi="黑体" w:eastAsia="黑体"/>
        </w:rPr>
        <w:t>第二部分：设计评分（20 分）</w:t>
      </w:r>
    </w:p>
    <w:p>
      <w:pPr>
        <w:pStyle w:val="Heading2"/>
      </w:pPr>
      <w:r>
        <w:rPr>
          <w:rFonts w:ascii="黑体" w:hAnsi="黑体" w:eastAsia="黑体"/>
        </w:rPr>
        <w:t>分项一览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评分项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满分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对应标准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导航与信息架构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§1.1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B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布局与视觉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§1.2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兼容与交付物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§1.7（机型、验收对照）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合计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20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A. 导航与信息架构（6 分）</w:t>
      </w:r>
    </w:p>
    <w:p>
      <w:pPr>
        <w:pStyle w:val="Heading3"/>
      </w:pPr>
      <w:r>
        <w:rPr>
          <w:rFonts w:ascii="黑体" w:hAnsi="黑体" w:eastAsia="黑体"/>
        </w:rPr>
        <w:t>A1 底栏结构 · 2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底栏入口齐全、当前页高亮正确、可切换功能页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缺 1 个底栏入口，或高亮错误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缺 2 个及以上底栏入口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A2 返回路径 · 2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二级页有返回，且返回后回到来源页或正确上级页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有 1～2 处返回缺失，或返回后落到错误页面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多数二级页无返回，或返回普遍错页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A3 页面标题 · 1 分</w:t>
      </w:r>
    </w:p>
    <w:p>
      <w:r>
        <w:rPr>
          <w:rFonts w:ascii="宋体" w:hAnsi="宋体" w:eastAsia="宋体"/>
        </w:rPr>
        <w:t>页面标题与需求一致＝1；有错误或缺失标题＝0。</w:t>
      </w:r>
    </w:p>
    <w:p>
      <w:pPr>
        <w:pStyle w:val="Heading3"/>
      </w:pPr>
      <w:r>
        <w:rPr>
          <w:rFonts w:ascii="黑体" w:hAnsi="黑体" w:eastAsia="黑体"/>
        </w:rPr>
        <w:t>A4 共用页 · 1 分（定档）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档位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多入口进入同一业务页时是同一套界面，仅新增/编辑/只读等模式差异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同一业务出现明显两套界面，或共用页缺失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B. 布局与视觉（12 分）</w:t>
      </w:r>
    </w:p>
    <w:p>
      <w:pPr>
        <w:pStyle w:val="Heading3"/>
      </w:pPr>
      <w:r>
        <w:rPr>
          <w:rFonts w:ascii="黑体" w:hAnsi="黑体" w:eastAsia="黑体"/>
        </w:rPr>
        <w:t>B1 安全区 · 1 分</w:t>
      </w:r>
    </w:p>
    <w:p>
      <w:r>
        <w:rPr>
          <w:rFonts w:ascii="宋体" w:hAnsi="宋体" w:eastAsia="宋体"/>
        </w:rPr>
        <w:t>主操作不被刘海或底部横条遮挡＝1；有遮挡＝0。</w:t>
      </w:r>
    </w:p>
    <w:p>
      <w:pPr>
        <w:pStyle w:val="Heading3"/>
      </w:pPr>
      <w:r>
        <w:rPr>
          <w:rFonts w:ascii="黑体" w:hAnsi="黑体" w:eastAsia="黑体"/>
        </w:rPr>
        <w:t>B2 对齐与间距 · 2 分</w:t>
      </w:r>
    </w:p>
    <w:p>
      <w:r>
        <w:rPr>
          <w:rFonts w:ascii="宋体" w:hAnsi="宋体" w:eastAsia="宋体"/>
        </w:rPr>
        <w:t>抽检不少于 5 页。对齐混乱或内容溢出，每发现 1 处扣 1 分，最低 0 分。</w:t>
      </w:r>
    </w:p>
    <w:p>
      <w:pPr>
        <w:pStyle w:val="Heading3"/>
      </w:pPr>
      <w:r>
        <w:rPr>
          <w:rFonts w:ascii="黑体" w:hAnsi="黑体" w:eastAsia="黑体"/>
        </w:rPr>
        <w:t>B3 对比度与状态色 · 1 分（定档）</w:t>
      </w:r>
    </w:p>
    <w:p>
      <w:r>
        <w:rPr>
          <w:rFonts w:ascii="宋体" w:hAnsi="宋体" w:eastAsia="宋体"/>
        </w:rPr>
        <w:t>正文可读、状态色含义稳定＝1；文字难辨或状态色乱用＝0。</w:t>
      </w:r>
    </w:p>
    <w:p>
      <w:pPr>
        <w:pStyle w:val="Heading3"/>
      </w:pPr>
      <w:r>
        <w:rPr>
          <w:rFonts w:ascii="黑体" w:hAnsi="黑体" w:eastAsia="黑体"/>
        </w:rPr>
        <w:t>B4 风格克制与配色统一 · 2 分（定档）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档位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政务克制，配色统一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整体克制，但个别页配色不一致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明显营销风，或主色/警示色冲突混乱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B5 图标与文案 · 1 分（定档）</w:t>
      </w:r>
    </w:p>
    <w:p>
      <w:r>
        <w:rPr>
          <w:rFonts w:ascii="宋体" w:hAnsi="宋体" w:eastAsia="宋体"/>
        </w:rPr>
        <w:t>关键状态有文字或图标说明＝1；关键状态只靠颜色区分、无文字/图标＝0。</w:t>
      </w:r>
    </w:p>
    <w:p>
      <w:pPr>
        <w:pStyle w:val="Heading3"/>
      </w:pPr>
      <w:r>
        <w:rPr>
          <w:rFonts w:ascii="黑体" w:hAnsi="黑体" w:eastAsia="黑体"/>
        </w:rPr>
        <w:t>B6 视觉层级 · 2 分（定档）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档位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层级清楚，首屏重点明确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能用，但首屏看不出重点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标题、正文、操作区混在一起，难以扫读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B7 组件质感统一 · 1 分（定档）</w:t>
      </w:r>
    </w:p>
    <w:p>
      <w:r>
        <w:rPr>
          <w:rFonts w:ascii="宋体" w:hAnsi="宋体" w:eastAsia="宋体"/>
        </w:rPr>
        <w:t>按钮、卡片、标签规格统一＝1；明显两套组件样式＝0。</w:t>
      </w:r>
    </w:p>
    <w:p>
      <w:pPr>
        <w:pStyle w:val="Heading3"/>
      </w:pPr>
      <w:r>
        <w:rPr>
          <w:rFonts w:ascii="黑体" w:hAnsi="黑体" w:eastAsia="黑体"/>
        </w:rPr>
        <w:t>B8 样式美观 · 2 分（定档）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档位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干净、协调、疏密得当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能用，但疏密或配色一般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L0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宋体" w:hAnsi="宋体" w:eastAsia="宋体"/>
                <w:sz w:val="20"/>
              </w:rPr>
              <w:t>版式明显粗糙、不协调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G. 兼容与交付物（2 分）</w:t>
      </w:r>
    </w:p>
    <w:p>
      <w:pPr>
        <w:pStyle w:val="Heading3"/>
      </w:pPr>
      <w:r>
        <w:rPr>
          <w:rFonts w:ascii="黑体" w:hAnsi="黑体" w:eastAsia="黑体"/>
        </w:rPr>
        <w:t>G1 机型尺寸 · 1 分</w:t>
      </w:r>
    </w:p>
    <w:p>
      <w:r>
        <w:rPr>
          <w:rFonts w:ascii="宋体" w:hAnsi="宋体" w:eastAsia="宋体"/>
        </w:rPr>
        <w:t xml:space="preserve">按 </w:t>
      </w:r>
      <w:r>
        <w:rPr>
          <w:rFonts w:ascii="宋体" w:hAnsi="宋体" w:eastAsia="宋体"/>
          <w:b/>
        </w:rPr>
        <w:t>360 × 780</w:t>
      </w:r>
      <w:r>
        <w:rPr>
          <w:rFonts w:ascii="宋体" w:hAnsi="宋体" w:eastAsia="宋体"/>
        </w:rPr>
        <w:t>＝1；否则＝0。</w:t>
      </w:r>
    </w:p>
    <w:p>
      <w:pPr>
        <w:pStyle w:val="Heading3"/>
      </w:pPr>
      <w:r>
        <w:rPr>
          <w:rFonts w:ascii="黑体" w:hAnsi="黑体" w:eastAsia="黑体"/>
        </w:rPr>
        <w:t>G2 验收对照 · 1 分</w:t>
      </w:r>
    </w:p>
    <w:p>
      <w:r>
        <w:rPr>
          <w:rFonts w:ascii="宋体" w:hAnsi="宋体" w:eastAsia="宋体"/>
        </w:rPr>
        <w:t>抽检页面结构、字段、操作与需求说明书可对齐＝1；有多处对不上＝0。</w:t>
      </w:r>
    </w:p>
    <w:p>
      <w:r>
        <w:rPr>
          <w:rFonts w:ascii="宋体" w:hAnsi="宋体" w:eastAsia="宋体"/>
          <w:b/>
        </w:rPr>
        <w:t>设计评分小计校验</w:t>
      </w:r>
      <w:r>
        <w:rPr>
          <w:rFonts w:ascii="宋体" w:hAnsi="宋体" w:eastAsia="宋体"/>
        </w:rPr>
        <w:t xml:space="preserve">：6 + 12 + 2 ＝ </w:t>
      </w:r>
      <w:r>
        <w:rPr>
          <w:rFonts w:ascii="宋体" w:hAnsi="宋体" w:eastAsia="宋体"/>
          <w:b/>
        </w:rPr>
        <w:t>20</w:t>
      </w:r>
      <w:r>
        <w:rPr>
          <w:rFonts w:ascii="宋体" w:hAnsi="宋体" w:eastAsia="宋体"/>
        </w:rPr>
        <w:t>。</w:t>
      </w:r>
    </w:p>
    <w:p>
      <w:pPr>
        <w:pStyle w:val="Heading2"/>
      </w:pPr>
      <w:r>
        <w:rPr>
          <w:rFonts w:ascii="黑体" w:hAnsi="黑体" w:eastAsia="黑体"/>
        </w:rPr>
        <w:t>怎么打分</w:t>
      </w:r>
    </w:p>
    <w:p>
      <w:pPr>
        <w:pStyle w:val="ListNumber"/>
      </w:pPr>
      <w:r>
        <w:rPr>
          <w:rFonts w:ascii="宋体" w:hAnsi="宋体" w:eastAsia="宋体"/>
        </w:rPr>
        <w:t>先打</w:t>
      </w:r>
      <w:r>
        <w:rPr>
          <w:rFonts w:ascii="宋体" w:hAnsi="宋体" w:eastAsia="宋体"/>
          <w:b/>
        </w:rPr>
        <w:t>第一部分·功能评分</w:t>
      </w:r>
      <w:r>
        <w:rPr>
          <w:rFonts w:ascii="宋体" w:hAnsi="宋体" w:eastAsia="宋体"/>
        </w:rPr>
        <w:t>（按业务功能；可点击交付；再加布局统一）。</w:t>
      </w:r>
    </w:p>
    <w:p>
      <w:pPr>
        <w:pStyle w:val="ListNumber"/>
      </w:pPr>
      <w:r>
        <w:rPr>
          <w:rFonts w:ascii="宋体" w:hAnsi="宋体" w:eastAsia="宋体"/>
        </w:rPr>
        <w:t>再打</w:t>
      </w:r>
      <w:r>
        <w:rPr>
          <w:rFonts w:ascii="宋体" w:hAnsi="宋体" w:eastAsia="宋体"/>
          <w:b/>
        </w:rPr>
        <w:t>第二部分·设计评分</w:t>
      </w:r>
      <w:r>
        <w:rPr>
          <w:rFonts w:ascii="宋体" w:hAnsi="宋体" w:eastAsia="宋体"/>
        </w:rPr>
        <w:t>（导航、视觉、机型与验收对照）。</w:t>
      </w:r>
    </w:p>
    <w:p>
      <w:pPr>
        <w:pStyle w:val="ListNumber"/>
      </w:pPr>
      <w:r>
        <w:rPr>
          <w:rFonts w:ascii="宋体" w:hAnsi="宋体" w:eastAsia="宋体"/>
        </w:rPr>
        <w:t>总分＝两部分实得之和（满分 100）。</w:t>
      </w:r>
    </w:p>
    <w:p>
      <w:pPr>
        <w:pStyle w:val="ListNumber"/>
      </w:pPr>
      <w:r>
        <w:rPr>
          <w:rFonts w:ascii="宋体" w:hAnsi="宋体" w:eastAsia="宋体"/>
        </w:rPr>
        <w:t>同一缺陷不在两部分重复重扣（缺页 / 断链只在功能评分扣；视觉观感在设计分扣）。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