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9C7633">
      <w:pPr>
        <w:bidi w:val="0"/>
        <w:spacing w:before="480" w:after="480" w:line="288" w:lineRule="auto"/>
        <w:ind w:left="0" w:firstLine="0"/>
        <w:jc w:val="left"/>
      </w:pPr>
      <w:r>
        <w:rPr>
          <w:rFonts w:ascii="Arial" w:hAnsi="Arial" w:eastAsia="等线" w:cs="Arial"/>
          <w:b/>
          <w:sz w:val="52"/>
        </w:rPr>
        <w:t>软件评测实施流程</w:t>
      </w:r>
    </w:p>
    <w:p w14:paraId="28FB64DD">
      <w:pPr>
        <w:bidi w:val="0"/>
        <w:jc w:val="left"/>
        <w:outlineLvl w:val="0"/>
      </w:pPr>
      <w:bookmarkStart w:id="0" w:name="heading_1"/>
      <w:r>
        <w:rPr>
          <w:rFonts w:ascii="Arial" w:hAnsi="Arial" w:eastAsia="等线" w:cs="Arial"/>
          <w:b/>
          <w:sz w:val="32"/>
        </w:rPr>
        <w:t>一、项目立项阶段台账（必做清单）</w:t>
      </w:r>
      <w:bookmarkEnd w:id="0"/>
    </w:p>
    <w:p w14:paraId="42F04C62">
      <w:pPr>
        <w:bidi w:val="0"/>
        <w:jc w:val="left"/>
        <w:outlineLvl w:val="1"/>
      </w:pPr>
      <w:bookmarkStart w:id="1" w:name="heading_2"/>
      <w:r>
        <w:rPr>
          <w:rFonts w:ascii="Arial" w:hAnsi="Arial" w:eastAsia="等线" w:cs="Arial"/>
          <w:b/>
          <w:sz w:val="30"/>
        </w:rPr>
        <w:t>1. 对接确认资料</w:t>
      </w:r>
      <w:bookmarkEnd w:id="1"/>
    </w:p>
    <w:p w14:paraId="0AEDDE90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确认评测用途：招投标选型 / 项目验收 / 合规测评 / 定级备案 / 性能摸底</w:t>
      </w:r>
    </w:p>
    <w:p w14:paraId="0F08434F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确认评测范围：模块、功能、版本、部署环境、排除范围</w:t>
      </w:r>
    </w:p>
    <w:p w14:paraId="57622A32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确认评测依据：合同、需求规格说明书、国标、行标、甲方要求</w:t>
      </w:r>
    </w:p>
    <w:p w14:paraId="44413958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确认交付周期、对接人、甲乙双方权责</w:t>
      </w:r>
    </w:p>
    <w:p w14:paraId="241E641F">
      <w:pPr>
        <w:bidi w:val="0"/>
        <w:jc w:val="left"/>
        <w:outlineLvl w:val="1"/>
      </w:pPr>
      <w:bookmarkStart w:id="2" w:name="heading_3"/>
      <w:r>
        <w:rPr>
          <w:rFonts w:ascii="Arial" w:hAnsi="Arial" w:eastAsia="等线" w:cs="Arial"/>
          <w:b/>
          <w:sz w:val="30"/>
        </w:rPr>
        <w:t>2. 合同与立项资料</w:t>
      </w:r>
      <w:bookmarkEnd w:id="2"/>
    </w:p>
    <w:p w14:paraId="0D16015F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测评委托协议 / 测评合同签订完成</w:t>
      </w:r>
    </w:p>
    <w:p w14:paraId="14EB7225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项目立项单、项目编号确立</w:t>
      </w:r>
    </w:p>
    <w:p w14:paraId="731B323A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保密协议签署（如需）</w:t>
      </w:r>
    </w:p>
    <w:p w14:paraId="390773B5">
      <w:pPr>
        <w:bidi w:val="0"/>
        <w:jc w:val="left"/>
        <w:outlineLvl w:val="1"/>
      </w:pPr>
      <w:bookmarkStart w:id="3" w:name="heading_4"/>
      <w:r>
        <w:rPr>
          <w:rFonts w:ascii="Arial" w:hAnsi="Arial" w:eastAsia="等线" w:cs="Arial"/>
          <w:b/>
          <w:sz w:val="30"/>
        </w:rPr>
        <w:t>3. 收齐被测软件资料</w:t>
      </w:r>
      <w:bookmarkEnd w:id="3"/>
    </w:p>
    <w:p w14:paraId="6E289E3E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软件安装包 / 部署镜像 / 源码（按需）</w:t>
      </w:r>
    </w:p>
    <w:p w14:paraId="12861D30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软件版本说明、更新日志</w:t>
      </w:r>
    </w:p>
    <w:p w14:paraId="350E2F27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需求文档、概要设计、详细设计、用户手册</w:t>
      </w:r>
    </w:p>
    <w:p w14:paraId="0CD34532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系统拓扑图、数据库说明、接口文档</w:t>
      </w:r>
    </w:p>
    <w:p w14:paraId="076E06DC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部署账号、管理员权限、测试账号</w:t>
      </w:r>
    </w:p>
    <w:p w14:paraId="0DFBBECA">
      <w:pPr>
        <w:bidi w:val="0"/>
        <w:jc w:val="left"/>
        <w:outlineLvl w:val="0"/>
      </w:pPr>
      <w:bookmarkStart w:id="4" w:name="heading_5"/>
      <w:r>
        <w:rPr>
          <w:rFonts w:ascii="Arial" w:hAnsi="Arial" w:eastAsia="等线" w:cs="Arial"/>
          <w:b/>
          <w:sz w:val="32"/>
        </w:rPr>
        <w:t>二、评测方案编制阶段（输出正式方案）</w:t>
      </w:r>
      <w:bookmarkEnd w:id="4"/>
    </w:p>
    <w:p w14:paraId="36B41961">
      <w:pPr>
        <w:bidi w:val="0"/>
        <w:jc w:val="left"/>
        <w:outlineLvl w:val="1"/>
      </w:pPr>
      <w:bookmarkStart w:id="5" w:name="heading_6"/>
      <w:r>
        <w:rPr>
          <w:rFonts w:ascii="Arial" w:hAnsi="Arial" w:eastAsia="等线" w:cs="Arial"/>
          <w:b/>
          <w:sz w:val="30"/>
        </w:rPr>
        <w:t>1. 方案内容确认项</w:t>
      </w:r>
      <w:bookmarkEnd w:id="5"/>
    </w:p>
    <w:p w14:paraId="08DDAE70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测评总体目标、测评范围明确</w:t>
      </w:r>
    </w:p>
    <w:p w14:paraId="6E57491C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测评环境（硬件、系统、数据库、网络、浏览器版本）明确</w:t>
      </w:r>
    </w:p>
    <w:p w14:paraId="539B72E0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测评维度确定：功能、性能、兼容性、易用性、安全性、文档、稳定性</w:t>
      </w:r>
    </w:p>
    <w:p w14:paraId="107EFDEE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测评标准、判定准则、合格阈值明确</w:t>
      </w:r>
    </w:p>
    <w:p w14:paraId="5D694858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  <w:rPr>
          <w:color w:val="FF0000"/>
        </w:rPr>
      </w:pPr>
      <w:r>
        <w:rPr>
          <w:color w:val="FF0000"/>
        </w:rPr>
        <w:t>编制测试需求表（功能清单），此表可由业主，开发单位提供，也可委托测试单位整理，也可通过系统爬取，形成明确测试任务单，这份业务单，需相关方签字确认</w:t>
      </w:r>
    </w:p>
    <w:p w14:paraId="7AEB765F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项目进度计划、里程碑排期</w:t>
      </w:r>
    </w:p>
    <w:p w14:paraId="0896CD1C">
      <w:pPr>
        <w:bidi w:val="0"/>
        <w:jc w:val="left"/>
        <w:outlineLvl w:val="1"/>
      </w:pPr>
      <w:bookmarkStart w:id="6" w:name="heading_7"/>
      <w:r>
        <w:rPr>
          <w:rFonts w:ascii="Arial" w:hAnsi="Arial" w:eastAsia="等线" w:cs="Arial"/>
          <w:b/>
          <w:sz w:val="30"/>
        </w:rPr>
        <w:t>2. 方案评审</w:t>
      </w:r>
      <w:bookmarkEnd w:id="6"/>
    </w:p>
    <w:p w14:paraId="67209602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内部技术评审通过</w:t>
      </w:r>
    </w:p>
    <w:p w14:paraId="72A8C46D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甲方确认测评方案（签字 / 盖章 / 邮件确认），主要是明确测试需求表</w:t>
      </w:r>
    </w:p>
    <w:p w14:paraId="1A0804B4">
      <w:pPr>
        <w:bidi w:val="0"/>
        <w:jc w:val="left"/>
        <w:outlineLvl w:val="0"/>
      </w:pPr>
      <w:bookmarkStart w:id="7" w:name="heading_8"/>
      <w:r>
        <w:rPr>
          <w:rFonts w:ascii="Arial" w:hAnsi="Arial" w:eastAsia="等线" w:cs="Arial"/>
          <w:b/>
          <w:sz w:val="32"/>
        </w:rPr>
        <w:t>三、测评环境搭建与核验</w:t>
      </w:r>
      <w:bookmarkEnd w:id="7"/>
    </w:p>
    <w:p w14:paraId="5DE413E4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独立测试环境部署完成（与生产隔离）</w:t>
      </w:r>
    </w:p>
    <w:p w14:paraId="29EF8628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环境版本与交付版本一致性核验</w:t>
      </w:r>
    </w:p>
    <w:p w14:paraId="1B7207B0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网络、端口、权限、服务状态校验正常</w:t>
      </w:r>
    </w:p>
    <w:p w14:paraId="248D36AA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数据库初始化、基础数据准备完成</w:t>
      </w:r>
    </w:p>
    <w:p w14:paraId="3EF628C6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测试工具部署完成（压测、抓包、漏洞扫描、兼容测试工具）</w:t>
      </w:r>
    </w:p>
    <w:p w14:paraId="1B404C42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环境快照 / 备份完成</w:t>
      </w:r>
    </w:p>
    <w:p w14:paraId="030C02E1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  <w:rPr>
          <w:color w:val="FF0000"/>
        </w:rPr>
      </w:pPr>
      <w:r>
        <w:rPr>
          <w:color w:val="FF0000"/>
        </w:rPr>
        <w:t>编制测试用例，涉及功能细节确认，需业主或者开发单位配合，测评实施组内部评审</w:t>
      </w:r>
    </w:p>
    <w:p w14:paraId="366AB90D">
      <w:pPr>
        <w:bidi w:val="0"/>
        <w:jc w:val="left"/>
        <w:outlineLvl w:val="0"/>
      </w:pPr>
      <w:bookmarkStart w:id="8" w:name="heading_9"/>
      <w:r>
        <w:rPr>
          <w:rFonts w:ascii="Arial" w:hAnsi="Arial" w:eastAsia="等线" w:cs="Arial"/>
          <w:b/>
          <w:sz w:val="32"/>
        </w:rPr>
        <w:t>四、正式测评执行台账（核心执行清单）</w:t>
      </w:r>
      <w:bookmarkEnd w:id="8"/>
    </w:p>
    <w:p w14:paraId="00DEEF2D">
      <w:pPr>
        <w:bidi w:val="0"/>
        <w:jc w:val="left"/>
        <w:outlineLvl w:val="1"/>
      </w:pPr>
      <w:bookmarkStart w:id="9" w:name="heading_10"/>
      <w:r>
        <w:rPr>
          <w:rFonts w:ascii="Arial" w:hAnsi="Arial" w:eastAsia="等线" w:cs="Arial"/>
          <w:b/>
          <w:sz w:val="30"/>
        </w:rPr>
        <w:t>1. 功能测评</w:t>
      </w:r>
      <w:bookmarkEnd w:id="9"/>
    </w:p>
    <w:p w14:paraId="4E7F211A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  <w:outlineLvl w:val="2"/>
        <w:rPr>
          <w:color w:val="FF0000"/>
        </w:rPr>
      </w:pPr>
      <w:r>
        <w:rPr>
          <w:rFonts w:ascii="Arial" w:hAnsi="Arial" w:eastAsia="等线" w:cs="Arial"/>
          <w:color w:val="FF0000"/>
          <w:sz w:val="22"/>
        </w:rPr>
        <w:t>所有业务模块全覆盖测试</w:t>
      </w:r>
    </w:p>
    <w:p w14:paraId="54EB753C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正常流程、异常流程、边界场景测试</w:t>
      </w:r>
    </w:p>
    <w:p w14:paraId="52275614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权限分级测试（管理员 / 普通用户 / 访客）</w:t>
      </w:r>
    </w:p>
    <w:p w14:paraId="5800A854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数据增删改查完整性校验</w:t>
      </w:r>
    </w:p>
    <w:p w14:paraId="37BEF7C8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功能缺陷逐条记录（等级：高危 / 中危 / 低危 / 建议）</w:t>
      </w:r>
    </w:p>
    <w:p w14:paraId="7A6060A7">
      <w:pPr>
        <w:bidi w:val="0"/>
        <w:jc w:val="left"/>
        <w:outlineLvl w:val="1"/>
      </w:pPr>
      <w:bookmarkStart w:id="10" w:name="heading_11"/>
      <w:r>
        <w:rPr>
          <w:rFonts w:ascii="Arial" w:hAnsi="Arial" w:eastAsia="等线" w:cs="Arial"/>
          <w:b/>
          <w:sz w:val="30"/>
        </w:rPr>
        <w:t>2. 性能测评</w:t>
      </w:r>
      <w:bookmarkEnd w:id="10"/>
    </w:p>
    <w:p w14:paraId="256EE97F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并发压力测试</w:t>
      </w:r>
    </w:p>
    <w:p w14:paraId="6E1B1F01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响应时间、吞吐量、事务成功率统计</w:t>
      </w:r>
    </w:p>
    <w:p w14:paraId="18D8A615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长时间稳定性压测（持续运行）</w:t>
      </w:r>
    </w:p>
    <w:p w14:paraId="30AFCAF6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服务器 CPU、内存、磁盘、网络资源监控</w:t>
      </w:r>
    </w:p>
    <w:p w14:paraId="538276AA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性能瓶颈、卡顿、超时、死锁记录</w:t>
      </w:r>
    </w:p>
    <w:p w14:paraId="01E8CAC8">
      <w:pPr>
        <w:bidi w:val="0"/>
        <w:jc w:val="left"/>
        <w:outlineLvl w:val="1"/>
      </w:pPr>
      <w:bookmarkStart w:id="11" w:name="heading_12"/>
      <w:r>
        <w:rPr>
          <w:rFonts w:ascii="Arial" w:hAnsi="Arial" w:eastAsia="等线" w:cs="Arial"/>
          <w:b/>
          <w:sz w:val="30"/>
        </w:rPr>
        <w:t>3. 兼容性测评</w:t>
      </w:r>
      <w:bookmarkEnd w:id="11"/>
    </w:p>
    <w:p w14:paraId="4F67CA2E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多操作系统适配</w:t>
      </w:r>
    </w:p>
    <w:p w14:paraId="50A14F3D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多浏览器适配</w:t>
      </w:r>
    </w:p>
    <w:p w14:paraId="6A468399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多分辨率、终端适配</w:t>
      </w:r>
    </w:p>
    <w:p w14:paraId="744C33CB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版本兼容、升级兼容测试</w:t>
      </w:r>
    </w:p>
    <w:p w14:paraId="5E1F99EC">
      <w:pPr>
        <w:bidi w:val="0"/>
        <w:jc w:val="left"/>
        <w:outlineLvl w:val="1"/>
      </w:pPr>
      <w:bookmarkStart w:id="12" w:name="heading_13"/>
      <w:r>
        <w:rPr>
          <w:rFonts w:ascii="Arial" w:hAnsi="Arial" w:eastAsia="等线" w:cs="Arial"/>
          <w:b/>
          <w:sz w:val="30"/>
        </w:rPr>
        <w:t>4. 安全 &amp; 合规测评</w:t>
      </w:r>
      <w:bookmarkEnd w:id="12"/>
    </w:p>
    <w:p w14:paraId="6E3B0B43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账号安全、密码策略、登录校验</w:t>
      </w:r>
    </w:p>
    <w:p w14:paraId="2DA248A5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权限越权测试</w:t>
      </w:r>
    </w:p>
    <w:p w14:paraId="641794EB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SQL 注入、XSS、弱口令、敏感接口测试</w:t>
      </w:r>
    </w:p>
    <w:p w14:paraId="28224B4E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数据传输加密、存储校验</w:t>
      </w:r>
    </w:p>
    <w:p w14:paraId="3C1B2048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日志审计、操作留痕核查</w:t>
      </w:r>
    </w:p>
    <w:p w14:paraId="42C14CE2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个人信息合规、最小权限核查</w:t>
      </w:r>
    </w:p>
    <w:p w14:paraId="332251B9">
      <w:pPr>
        <w:bidi w:val="0"/>
        <w:jc w:val="left"/>
        <w:outlineLvl w:val="1"/>
      </w:pPr>
      <w:bookmarkStart w:id="13" w:name="heading_14"/>
      <w:r>
        <w:rPr>
          <w:rFonts w:ascii="Arial" w:hAnsi="Arial" w:eastAsia="等线" w:cs="Arial"/>
          <w:b/>
          <w:sz w:val="30"/>
        </w:rPr>
        <w:t>5. 易用性 &amp; 文档测评</w:t>
      </w:r>
      <w:bookmarkEnd w:id="13"/>
    </w:p>
    <w:p w14:paraId="5176008B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界面交互合理性、操作便捷度</w:t>
      </w:r>
    </w:p>
    <w:p w14:paraId="5077DC38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报错提示友好性</w:t>
      </w:r>
    </w:p>
    <w:p w14:paraId="5E4BFB31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帮助文档、部署文档完整性、准确性</w:t>
      </w:r>
    </w:p>
    <w:p w14:paraId="351983A8">
      <w:pPr>
        <w:bidi w:val="0"/>
        <w:jc w:val="left"/>
        <w:outlineLvl w:val="0"/>
      </w:pPr>
      <w:bookmarkStart w:id="14" w:name="heading_15"/>
      <w:r>
        <w:rPr>
          <w:rFonts w:ascii="Arial" w:hAnsi="Arial" w:eastAsia="等线" w:cs="Arial"/>
          <w:b/>
          <w:sz w:val="32"/>
        </w:rPr>
        <w:t>五、缺陷管理与复测闭环</w:t>
      </w:r>
      <w:bookmarkEnd w:id="14"/>
    </w:p>
    <w:p w14:paraId="04DED2D0">
      <w:pPr>
        <w:bidi w:val="0"/>
        <w:jc w:val="left"/>
        <w:outlineLvl w:val="1"/>
      </w:pPr>
      <w:bookmarkStart w:id="15" w:name="heading_16"/>
      <w:r>
        <w:rPr>
          <w:rFonts w:ascii="Arial" w:hAnsi="Arial" w:eastAsia="等线" w:cs="Arial"/>
          <w:b/>
          <w:sz w:val="30"/>
        </w:rPr>
        <w:t>1. 问题汇总</w:t>
      </w:r>
      <w:bookmarkEnd w:id="15"/>
    </w:p>
    <w:p w14:paraId="4747F7DC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  <w:outlineLvl w:val="2"/>
      </w:pPr>
      <w:r>
        <w:rPr>
          <w:rFonts w:ascii="Arial" w:hAnsi="Arial" w:eastAsia="等线" w:cs="Arial"/>
          <w:sz w:val="22"/>
        </w:rPr>
        <w:t>所有缺陷统一录入缺陷台账</w:t>
      </w:r>
    </w:p>
    <w:p w14:paraId="395C504A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每条问题包含：现象、复现步骤、截图、日志、风险等级、影响范围</w:t>
      </w:r>
    </w:p>
    <w:p w14:paraId="03B93C71">
      <w:pPr>
        <w:bidi w:val="0"/>
        <w:jc w:val="left"/>
        <w:outlineLvl w:val="1"/>
      </w:pPr>
      <w:bookmarkStart w:id="16" w:name="heading_17"/>
      <w:r>
        <w:rPr>
          <w:rFonts w:ascii="Arial" w:hAnsi="Arial" w:eastAsia="等线" w:cs="Arial"/>
          <w:b/>
          <w:sz w:val="30"/>
        </w:rPr>
        <w:t>2. 整改跟踪</w:t>
      </w:r>
      <w:bookmarkEnd w:id="16"/>
    </w:p>
    <w:p w14:paraId="75BB1E80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提交问题清单给开发 / 甲方</w:t>
      </w:r>
    </w:p>
    <w:p w14:paraId="4986030A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跟踪整改进度、整改截止时间</w:t>
      </w:r>
    </w:p>
    <w:p w14:paraId="5754ECAA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对已修复问题逐条回归复测</w:t>
      </w:r>
    </w:p>
    <w:p w14:paraId="3653C4CB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对无法修复问题：风险说明、遗留问题备案、双方确认</w:t>
      </w:r>
    </w:p>
    <w:p w14:paraId="23245AF5">
      <w:pPr>
        <w:bidi w:val="0"/>
        <w:jc w:val="left"/>
        <w:outlineLvl w:val="1"/>
      </w:pPr>
      <w:bookmarkStart w:id="17" w:name="heading_18"/>
      <w:r>
        <w:rPr>
          <w:rFonts w:ascii="Arial" w:hAnsi="Arial" w:eastAsia="等线" w:cs="Arial"/>
          <w:b/>
          <w:sz w:val="30"/>
        </w:rPr>
        <w:t>3. 闭环要求</w:t>
      </w:r>
      <w:bookmarkEnd w:id="17"/>
    </w:p>
    <w:p w14:paraId="2298FECB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高危问题 100% 修复闭环</w:t>
      </w:r>
    </w:p>
    <w:p w14:paraId="5DE73FAC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中危问题基本闭环，特殊情况书面备案</w:t>
      </w:r>
    </w:p>
    <w:p w14:paraId="72359427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低危 / 建议问题整理为优化建议</w:t>
      </w:r>
    </w:p>
    <w:p w14:paraId="6745F63E">
      <w:pPr>
        <w:bidi w:val="0"/>
        <w:jc w:val="left"/>
        <w:outlineLvl w:val="0"/>
      </w:pPr>
      <w:bookmarkStart w:id="18" w:name="heading_19"/>
      <w:r>
        <w:rPr>
          <w:rFonts w:ascii="Arial" w:hAnsi="Arial" w:eastAsia="等线" w:cs="Arial"/>
          <w:b/>
          <w:sz w:val="32"/>
        </w:rPr>
        <w:t>六、测评报告编制 &amp; 审核交付</w:t>
      </w:r>
      <w:bookmarkEnd w:id="18"/>
    </w:p>
    <w:p w14:paraId="101CA932">
      <w:pPr>
        <w:bidi w:val="0"/>
        <w:jc w:val="left"/>
        <w:outlineLvl w:val="1"/>
      </w:pPr>
      <w:bookmarkStart w:id="19" w:name="heading_20"/>
      <w:r>
        <w:rPr>
          <w:rFonts w:ascii="Arial" w:hAnsi="Arial" w:eastAsia="等线" w:cs="Arial"/>
          <w:b/>
          <w:sz w:val="30"/>
        </w:rPr>
        <w:t>1. 报告内容核查</w:t>
      </w:r>
      <w:bookmarkEnd w:id="19"/>
    </w:p>
    <w:p w14:paraId="636AC4DD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项目基本信息、测评范围、测评环境完整</w:t>
      </w:r>
    </w:p>
    <w:p w14:paraId="2E0666CB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测评依据、测评方法清晰</w:t>
      </w:r>
    </w:p>
    <w:p w14:paraId="191D065E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各维度测评数据、截图、指标齐全</w:t>
      </w:r>
    </w:p>
    <w:p w14:paraId="03BF6047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缺陷汇总、风险分析、优化建议完整</w:t>
      </w:r>
    </w:p>
    <w:p w14:paraId="19FF8C27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综合测评结论明确（合格 / 基本合格 / 待整改）</w:t>
      </w:r>
    </w:p>
    <w:p w14:paraId="472DEF4E">
      <w:pPr>
        <w:bidi w:val="0"/>
        <w:jc w:val="left"/>
        <w:outlineLvl w:val="1"/>
      </w:pPr>
      <w:bookmarkStart w:id="20" w:name="heading_21"/>
      <w:r>
        <w:rPr>
          <w:rFonts w:ascii="Arial" w:hAnsi="Arial" w:eastAsia="等线" w:cs="Arial"/>
          <w:b/>
          <w:sz w:val="30"/>
        </w:rPr>
        <w:t>2. 内部审核流程</w:t>
      </w:r>
      <w:bookmarkEnd w:id="20"/>
    </w:p>
    <w:p w14:paraId="569AD591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测试工程师自审</w:t>
      </w:r>
    </w:p>
    <w:p w14:paraId="399A7474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技术负责人复审</w:t>
      </w:r>
    </w:p>
    <w:p w14:paraId="340072CA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质量负责人终审</w:t>
      </w:r>
    </w:p>
    <w:p w14:paraId="58A1BF8F">
      <w:pPr>
        <w:bidi w:val="0"/>
        <w:jc w:val="left"/>
        <w:outlineLvl w:val="1"/>
      </w:pPr>
      <w:bookmarkStart w:id="21" w:name="heading_22"/>
      <w:r>
        <w:rPr>
          <w:rFonts w:ascii="Arial" w:hAnsi="Arial" w:eastAsia="等线" w:cs="Arial"/>
          <w:b/>
          <w:sz w:val="30"/>
        </w:rPr>
        <w:t>3. 交付归档</w:t>
      </w:r>
      <w:bookmarkEnd w:id="21"/>
    </w:p>
    <w:p w14:paraId="22B93A72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出具电子版正式报告</w:t>
      </w:r>
    </w:p>
    <w:p w14:paraId="50542E6A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出具盖章纸质报告（如需）</w:t>
      </w:r>
    </w:p>
    <w:p w14:paraId="33A864C6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报告交付签收记录</w:t>
      </w:r>
    </w:p>
    <w:p w14:paraId="41CA8DED">
      <w:pPr>
        <w:bidi w:val="0"/>
        <w:jc w:val="left"/>
        <w:outlineLvl w:val="0"/>
        <w:rPr>
          <w:rFonts w:ascii="Arial" w:hAnsi="Arial" w:eastAsia="等线" w:cs="Arial"/>
          <w:b/>
          <w:sz w:val="32"/>
        </w:rPr>
      </w:pPr>
      <w:bookmarkStart w:id="22" w:name="heading_23"/>
      <w:bookmarkStart w:id="24" w:name="_GoBack"/>
      <w:r>
        <w:rPr>
          <w:rFonts w:ascii="Arial" w:hAnsi="Arial" w:eastAsia="等线" w:cs="Arial"/>
          <w:b/>
          <w:sz w:val="32"/>
        </w:rPr>
        <w:t>七、项目收尾归档清单（全套归档）</w:t>
      </w:r>
      <w:bookmarkEnd w:id="22"/>
    </w:p>
    <w:bookmarkEnd w:id="24"/>
    <w:p w14:paraId="430F7210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测评合同、立项资料</w:t>
      </w:r>
    </w:p>
    <w:p w14:paraId="44F62BAD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测评方案、确认记录</w:t>
      </w:r>
    </w:p>
    <w:p w14:paraId="59E579B5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测试用例、测试原始数据、压测日志</w:t>
      </w:r>
    </w:p>
    <w:p w14:paraId="70F5E2CB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缺陷台账、整改回执、复测记录</w:t>
      </w:r>
    </w:p>
    <w:p w14:paraId="64B7BA1E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正式测评报告及附件</w:t>
      </w:r>
    </w:p>
    <w:p w14:paraId="7840E02C">
      <w:pPr>
        <w:numPr>
          <w:ilvl w:val="0"/>
          <w:numId w:val="0"/>
        </w:num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环境清理、权限回收、项目结项</w:t>
      </w:r>
    </w:p>
    <w:p w14:paraId="1A3DCCFA">
      <w:pPr>
        <w:bidi w:val="0"/>
        <w:jc w:val="left"/>
        <w:rPr>
          <w:rFonts w:ascii="Arial" w:hAnsi="Arial" w:eastAsia="等线" w:cs="Arial"/>
          <w:b/>
          <w:sz w:val="22"/>
        </w:rPr>
      </w:pPr>
    </w:p>
    <w:p w14:paraId="69D7D924">
      <w:pPr>
        <w:bidi w:val="0"/>
        <w:jc w:val="left"/>
        <w:outlineLvl w:val="0"/>
        <w:rPr>
          <w:rFonts w:ascii="Arial" w:hAnsi="Arial" w:eastAsia="等线" w:cs="Arial"/>
          <w:b/>
          <w:sz w:val="32"/>
        </w:rPr>
      </w:pPr>
      <w:bookmarkStart w:id="23" w:name="heading_25"/>
      <w:r>
        <w:rPr>
          <w:rFonts w:ascii="Arial" w:hAnsi="Arial" w:eastAsia="等线" w:cs="Arial"/>
          <w:b/>
          <w:sz w:val="32"/>
        </w:rPr>
        <w:t>附：标准流程极简一句话版</w:t>
      </w:r>
      <w:bookmarkEnd w:id="23"/>
    </w:p>
    <w:p w14:paraId="5422C181">
      <w:pPr>
        <w:bidi w:val="0"/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立项对接 → 收集方案 → 环境搭建核验 → 全维度测评执行 → 缺陷整改复测 → 报告三审出具 → 项目归档闭环</w:t>
      </w:r>
    </w:p>
    <w:p w14:paraId="58E312DC">
      <w:pPr>
        <w:bidi w:val="0"/>
        <w:spacing w:before="120" w:after="120" w:line="288" w:lineRule="auto"/>
        <w:ind w:left="0" w:firstLine="0"/>
        <w:jc w:val="left"/>
        <w:rPr>
          <w:rFonts w:ascii="Arial" w:hAnsi="Arial" w:eastAsia="等线" w:cs="Arial"/>
          <w:sz w:val="22"/>
        </w:rPr>
      </w:pPr>
    </w:p>
    <w:p w14:paraId="7F8B0837">
      <w:pPr>
        <w:bidi w:val="0"/>
        <w:spacing w:line="360" w:lineRule="auto"/>
        <w:jc w:val="left"/>
      </w:pPr>
    </w:p>
    <w:p w14:paraId="71B02C76">
      <w:pPr>
        <w:bidi w:val="0"/>
        <w:jc w:val="left"/>
        <w:outlineLvl w:val="0"/>
        <w:rPr>
          <w:rFonts w:ascii="Arial" w:hAnsi="Arial" w:eastAsia="等线" w:cs="Arial"/>
          <w:b/>
          <w:sz w:val="32"/>
        </w:rPr>
      </w:pPr>
      <w:r>
        <w:rPr>
          <w:rFonts w:ascii="Arial" w:hAnsi="Arial" w:eastAsia="等线" w:cs="Arial"/>
          <w:b/>
          <w:sz w:val="32"/>
        </w:rPr>
        <w:t>AI核心需求：</w:t>
      </w:r>
    </w:p>
    <w:p w14:paraId="5DACC2B0">
      <w:pPr>
        <w:pStyle w:val="12"/>
        <w:numPr>
          <w:ilvl w:val="0"/>
          <w:numId w:val="1"/>
        </w:numPr>
        <w:bidi w:val="0"/>
        <w:spacing w:beforeAutospacing="1" w:afterAutospacing="1" w:line="360" w:lineRule="auto"/>
        <w:contextualSpacing/>
        <w:jc w:val="left"/>
        <w:outlineLvl w:val="1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生成测试需求模块（明确需求，信息对齐）</w:t>
      </w:r>
    </w:p>
    <w:p w14:paraId="5D459F94">
      <w:pPr>
        <w:pStyle w:val="12"/>
        <w:bidi w:val="0"/>
        <w:spacing w:beforeAutospacing="1" w:afterAutospacing="1" w:line="360" w:lineRule="auto"/>
        <w:ind w:left="0" w:firstLine="720"/>
        <w:contextualSpacing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通过上传项目用户文档集（项目采购合同、设计方案、需求规格说明书、产品说明书、用户/操作手册等），工具从上传的文档集中分析并提取测试需求，并生成符合机构技术记录模板格式要求的《测试需求》文档。</w:t>
      </w:r>
    </w:p>
    <w:p w14:paraId="06E84B9C">
      <w:pPr>
        <w:pStyle w:val="12"/>
        <w:bidi w:val="0"/>
        <w:spacing w:beforeAutospacing="1" w:afterAutospacing="1" w:line="360" w:lineRule="auto"/>
        <w:ind w:firstLine="0"/>
        <w:contextualSpacing/>
        <w:jc w:val="left"/>
      </w:pPr>
    </w:p>
    <w:p w14:paraId="634E64C3">
      <w:pPr>
        <w:pStyle w:val="12"/>
        <w:numPr>
          <w:ilvl w:val="0"/>
          <w:numId w:val="1"/>
        </w:numPr>
        <w:bidi w:val="0"/>
        <w:spacing w:beforeAutospacing="1" w:afterAutospacing="1" w:line="360" w:lineRule="auto"/>
        <w:contextualSpacing/>
        <w:jc w:val="left"/>
        <w:outlineLvl w:val="1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用需求表编制测试用例</w:t>
      </w:r>
      <w:r>
        <w:rPr>
          <w:rFonts w:ascii="宋体" w:hAnsi="宋体" w:eastAsia="宋体" w:cs="宋体"/>
          <w:b/>
          <w:bCs/>
          <w:kern w:val="0"/>
          <w:sz w:val="24"/>
          <w:szCs w:val="24"/>
        </w:rPr>
        <w:t>（AI生成，人工核对）</w:t>
      </w:r>
    </w:p>
    <w:p w14:paraId="4E856342">
      <w:pPr>
        <w:pStyle w:val="12"/>
        <w:bidi w:val="0"/>
        <w:spacing w:beforeAutospacing="1" w:afterAutospacing="1" w:line="360" w:lineRule="auto"/>
        <w:ind w:left="0" w:firstLine="720"/>
        <w:contextualSpacing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3284D57E">
      <w:pPr>
        <w:pStyle w:val="12"/>
        <w:numPr>
          <w:ilvl w:val="0"/>
          <w:numId w:val="1"/>
        </w:numPr>
        <w:bidi w:val="0"/>
        <w:spacing w:beforeAutospacing="1" w:afterAutospacing="1" w:line="360" w:lineRule="auto"/>
        <w:contextualSpacing/>
        <w:jc w:val="left"/>
        <w:outlineLvl w:val="1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自动化功能测试模块（执行用例测试，记录结果，输出问题清单）</w:t>
      </w:r>
    </w:p>
    <w:p w14:paraId="1CA4682A">
      <w:pPr>
        <w:pStyle w:val="12"/>
        <w:bidi w:val="0"/>
        <w:spacing w:beforeAutospacing="1" w:afterAutospacing="1" w:line="360" w:lineRule="auto"/>
        <w:ind w:left="0" w:firstLine="720"/>
        <w:contextualSpacing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A</w:t>
      </w:r>
      <w:r>
        <w:rPr>
          <w:rFonts w:ascii="宋体" w:hAnsi="宋体" w:eastAsia="宋体" w:cs="宋体"/>
          <w:kern w:val="0"/>
          <w:sz w:val="24"/>
          <w:szCs w:val="24"/>
        </w:rPr>
        <w:t>测试准备阶段：把被测样品的《测试需求》、测试账号、约束条件等信息上传至信“样品信息库”</w:t>
      </w:r>
    </w:p>
    <w:p w14:paraId="3616C9AF">
      <w:pPr>
        <w:pStyle w:val="12"/>
        <w:bidi w:val="0"/>
        <w:spacing w:beforeAutospacing="1" w:afterAutospacing="1" w:line="360" w:lineRule="auto"/>
        <w:ind w:left="0" w:firstLine="720"/>
        <w:contextualSpacing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B</w:t>
      </w:r>
      <w:r>
        <w:rPr>
          <w:rFonts w:ascii="宋体" w:hAnsi="宋体" w:eastAsia="宋体" w:cs="宋体"/>
          <w:kern w:val="0"/>
          <w:sz w:val="24"/>
          <w:szCs w:val="24"/>
        </w:rPr>
        <w:t>测试执行阶段：在工具上输入被测样品链接地址信息，工具自动对照《测试需求》的内容，自动扫描识别系统功能，并模拟人工测试方式，自动化完成被测样品的功能性测试。</w:t>
      </w:r>
    </w:p>
    <w:p w14:paraId="3E6CC629">
      <w:pPr>
        <w:pStyle w:val="12"/>
        <w:numPr>
          <w:ilvl w:val="0"/>
          <w:numId w:val="1"/>
        </w:numPr>
        <w:bidi w:val="0"/>
        <w:spacing w:beforeAutospacing="1" w:afterAutospacing="1" w:line="360" w:lineRule="auto"/>
        <w:contextualSpacing/>
        <w:jc w:val="left"/>
        <w:outlineLvl w:val="1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生成测试用例及记录模块（根据执行结果，修正测试用例）</w:t>
      </w:r>
    </w:p>
    <w:p w14:paraId="5A7475C7">
      <w:pPr>
        <w:pStyle w:val="12"/>
        <w:bidi w:val="0"/>
        <w:spacing w:beforeAutospacing="1" w:afterAutospacing="1" w:line="360" w:lineRule="auto"/>
        <w:ind w:left="0" w:firstLine="720"/>
        <w:contextualSpacing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测试过程中工具能够自动记录测试过程及测试结果。测试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完后</w:t>
      </w:r>
      <w:r>
        <w:rPr>
          <w:rFonts w:ascii="宋体" w:hAnsi="宋体" w:eastAsia="宋体" w:cs="宋体"/>
          <w:kern w:val="0"/>
          <w:sz w:val="24"/>
          <w:szCs w:val="24"/>
        </w:rPr>
        <w:t>，将测试过程及结果生成符合我机构技术记录模板格式要求的《测试用例及记录》和《测试问题及回归记录》文档。</w:t>
      </w:r>
    </w:p>
    <w:p w14:paraId="1CC9AB54">
      <w:pPr>
        <w:pStyle w:val="12"/>
        <w:numPr>
          <w:ilvl w:val="0"/>
          <w:numId w:val="1"/>
        </w:numPr>
        <w:bidi w:val="0"/>
        <w:spacing w:beforeAutospacing="1" w:afterAutospacing="1" w:line="360" w:lineRule="auto"/>
        <w:contextualSpacing/>
        <w:jc w:val="left"/>
        <w:outlineLvl w:val="1"/>
        <w:rPr>
          <w:rFonts w:ascii="宋体" w:hAnsi="宋体" w:eastAsia="宋体" w:cs="宋体"/>
          <w:b/>
          <w:bCs/>
          <w:kern w:val="0"/>
          <w:sz w:val="24"/>
          <w:szCs w:val="24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</w:rPr>
        <w:t>生成报告模块</w:t>
      </w:r>
    </w:p>
    <w:p w14:paraId="5D52908A">
      <w:pPr>
        <w:pStyle w:val="12"/>
        <w:bidi w:val="0"/>
        <w:spacing w:beforeAutospacing="1" w:afterAutospacing="1" w:line="360" w:lineRule="auto"/>
        <w:ind w:left="0" w:firstLine="720"/>
        <w:contextualSpacing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t>根据自动化测试结果，能够生成符合我机构技术记录模板格式要求的《测试报告》。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20" w:footer="720" w:gutter="0"/>
      <w:pgNumType w:fmt="decimal"/>
      <w:cols w:space="720" w:num="1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libri">
    <w:panose1 w:val="020F0502020204030204"/>
    <w:charset w:val="86"/>
    <w:family w:val="roman"/>
    <w:pitch w:val="default"/>
    <w:sig w:usb0="E4002EFF" w:usb1="C200247B" w:usb2="00000009" w:usb3="00000000" w:csb0="200001FF" w:csb1="0000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Liberation Sans">
    <w:altName w:val="宋体"/>
    <w:panose1 w:val="00000000000000000000"/>
    <w:charset w:val="86"/>
    <w:family w:val="swiss"/>
    <w:pitch w:val="default"/>
    <w:sig w:usb0="00000000" w:usb1="00000000" w:usb2="00000000" w:usb3="00000000" w:csb0="00000000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5A3190">
    <w:pPr>
      <w:bidi w:val="0"/>
      <w:jc w:val="left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CB4CF4">
    <w:pPr>
      <w:bidi w:val="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NotDisplayPageBoundaries w:val="1"/>
  <w:documentProtection w:enforcement="0"/>
  <w:defaultTabStop w:val="720"/>
  <w:autoHyphenation/>
  <w:compat>
    <w:doNotExpandShiftReturn/>
    <w:useFELayout/>
    <w:compatSetting w:name="compatibilityMode" w:uri="http://schemas.microsoft.com/office/word" w:val="12"/>
  </w:compat>
  <w:rsids>
    <w:rsidRoot w:val="00000000"/>
    <w:rsid w:val="38821B2D"/>
    <w:rsid w:val="3C584678"/>
    <w:rsid w:val="694A26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Noto Serif SC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</w:pPr>
    <w:rPr>
      <w:rFonts w:ascii="Calibri" w:hAnsi="Calibri" w:eastAsia="Noto Serif SC" w:cs="Arial"/>
      <w:color w:val="auto"/>
      <w:kern w:val="2"/>
      <w:sz w:val="22"/>
      <w:szCs w:val="24"/>
      <w:lang w:val="en-US" w:eastAsia="zh-CN" w:bidi="hi-IN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3">
    <w:name w:val="Body Text"/>
    <w:basedOn w:val="1"/>
    <w:qFormat/>
    <w:uiPriority w:val="0"/>
    <w:pPr>
      <w:spacing w:before="0" w:after="140" w:line="276" w:lineRule="auto"/>
    </w:pPr>
  </w:style>
  <w:style w:type="paragraph" w:styleId="4">
    <w:name w:val="footer"/>
    <w:basedOn w:val="5"/>
    <w:uiPriority w:val="0"/>
  </w:style>
  <w:style w:type="paragraph" w:customStyle="1" w:styleId="5">
    <w:name w:val="页眉与页脚"/>
    <w:basedOn w:val="1"/>
    <w:qFormat/>
    <w:uiPriority w:val="0"/>
  </w:style>
  <w:style w:type="paragraph" w:styleId="6">
    <w:name w:val="header"/>
    <w:basedOn w:val="5"/>
    <w:uiPriority w:val="0"/>
  </w:style>
  <w:style w:type="paragraph" w:styleId="7">
    <w:name w:val="List"/>
    <w:basedOn w:val="3"/>
    <w:uiPriority w:val="0"/>
    <w:rPr>
      <w:rFonts w:cs="Arial"/>
    </w:rPr>
  </w:style>
  <w:style w:type="paragraph" w:customStyle="1" w:styleId="10">
    <w:name w:val="标题样式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customStyle="1" w:styleId="11">
    <w:name w:val="索引"/>
    <w:basedOn w:val="1"/>
    <w:qFormat/>
    <w:uiPriority w:val="0"/>
    <w:pPr>
      <w:suppressLineNumbers/>
    </w:pPr>
    <w:rPr>
      <w:rFonts w:cs="Arial"/>
    </w:rPr>
  </w:style>
  <w:style w:type="paragraph" w:styleId="12">
    <w:name w:val="List Paragraph"/>
    <w:basedOn w:val="1"/>
    <w:qFormat/>
    <w:uiPriority w:val="0"/>
    <w:pPr>
      <w:spacing w:before="280" w:after="280"/>
      <w:ind w:left="720" w:firstLine="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1906</Words>
  <Characters>1933</Characters>
  <Paragraphs>113</Paragraphs>
  <TotalTime>52</TotalTime>
  <ScaleCrop>false</ScaleCrop>
  <LinksUpToDate>false</LinksUpToDate>
  <CharactersWithSpaces>2009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2026-06-10T00:40:00Z</dcterms:created>
  <dc:creator>Apache POI</dc:creator>
  <cp:lastModifiedBy>梁映峰</cp:lastModifiedBy>
  <dcterms:modified xsi:type="dcterms:W3CDTF">2026-06-12T16:32:07Z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{"Label":"1","ContentProducer":"001191110102MACQD9K64010000","ProduceID":"7649560252954709186","ReservedCode1":"","ContentPropagator":"","PropagateID":"","ReservedCode2":""}</vt:lpwstr>
  </property>
  <property fmtid="{D5CDD505-2E9C-101B-9397-08002B2CF9AE}" pid="3" name="KSOTemplateDocerSaveRecord">
    <vt:lpwstr>eyJoZGlkIjoiM2ViZTEyZjFjYzM3MjMxMGZmNTU5NTZlNjFjY2M0NDIiLCJ1c2VySWQiOiI5ODMyOTM4MzQifQ==</vt:lpwstr>
  </property>
  <property fmtid="{D5CDD505-2E9C-101B-9397-08002B2CF9AE}" pid="4" name="KSOProductBuildVer">
    <vt:lpwstr>2052-12.1.0.26895</vt:lpwstr>
  </property>
  <property fmtid="{D5CDD505-2E9C-101B-9397-08002B2CF9AE}" pid="5" name="ICV">
    <vt:lpwstr>F54F7838C8334D41AB9B1092396FC20A_12</vt:lpwstr>
  </property>
</Properties>
</file>