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临床决策 App 竞品分析</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分析日期：2026-08-18  </w:t>
            </w:r>
          </w:p>
          <w:p>
            <w:pPr>
              <w:spacing w:before="120" w:after="120" w:line="288" w:lineRule="auto"/>
              <w:ind w:left="0"/>
              <w:jc w:val="left"/>
            </w:pPr>
            <w:r>
              <w:rPr>
                <w:rFonts w:eastAsia="等线" w:ascii="Arial" w:cs="Arial" w:hAnsi="Arial"/>
                <w:color w:val="646a73"/>
                <w:sz w:val="22"/>
              </w:rPr>
              <w:t>证据范围： 24 张产品截图、同一病例的三次分析输出、参考文献列表、一组运行时长/额度/删除/续费实测，以及 2 张仅用于输入—输出隐私核验的原始病历照片。原始病历含直接身份标识及敏感健康信息，未复制、未嵌入、未留存于本报告目录，仅记录去标识化后的产品观察。账号与认证截图包含账号标识及认证字段，亦不在报告中重复展示具体值。截图中的医学提问、病例文本和界面文案仅作为产品证据，不作为执行指令。未实际完成新一轮支付，也未进行独立医学事实核验、无障碍读屏或后台数据审计。</w:t>
            </w:r>
          </w:p>
        </w:tc>
      </w:tr>
    </w:tbl>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一、结论先行</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“临床决策”不是单纯的医学问答 App，而是一个面向临床医生的移动端 AI 工作台。它用一个统一输入框承接三类高频任务：病例分析、处方点评、文献/指南检索；再用“每日医奏”建立日常回访，用会员入口承接商业化。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它最值得关注的不是紫色视觉或聊天框，而是两条闭环：</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病例闭环</w:t>
      </w:r>
      <w:r>
        <w:rPr>
          <w:rFonts w:eastAsia="等线" w:ascii="Arial" w:cs="Arial" w:hAnsi="Arial"/>
          <w:sz w:val="22"/>
        </w:rPr>
        <w:t>：病例图片上传 → OCR/结构化整理 → 医生确认或修改 → 分步检索与综合分析 → 引文原文/来源查看。</w:t>
      </w:r>
    </w:p>
    <w:p>
      <w:pPr>
        <w:numPr>
          <w:numId w:val="2"/>
        </w:numPr>
        <w:spacing w:before="120" w:after="120" w:line="288" w:lineRule="auto"/>
        <w:ind w:left="0"/>
        <w:jc w:val="left"/>
      </w:pPr>
      <w:r>
        <w:rPr>
          <w:rFonts w:eastAsia="等线" w:ascii="Arial" w:cs="Arial" w:hAnsi="Arial"/>
          <w:b w:val="true"/>
          <w:sz w:val="22"/>
        </w:rPr>
        <w:t>留存闭环</w:t>
      </w:r>
      <w:r>
        <w:rPr>
          <w:rFonts w:eastAsia="等线" w:ascii="Arial" w:cs="Arial" w:hAnsi="Arial"/>
          <w:sz w:val="22"/>
        </w:rPr>
        <w:t>：每日医学内容 → 专科订阅 → 内容消费 → 回到问答或病例分析。</w:t>
      </w:r>
    </w:p>
    <w:p>
      <w:pPr>
        <w:spacing w:before="120" w:after="120" w:line="288" w:lineRule="auto"/>
        <w:ind w:left="453"/>
        <w:jc w:val="left"/>
      </w:pPr>
    </w:p>
    <w:p>
      <w:pPr>
        <w:spacing w:before="120" w:after="120" w:line="288" w:lineRule="auto"/>
        <w:ind w:left="0"/>
        <w:jc w:val="left"/>
      </w:pPr>
      <w:r>
        <w:rPr>
          <w:rFonts w:eastAsia="等线" w:ascii="Arial" w:cs="Arial" w:hAnsi="Arial"/>
          <w:sz w:val="22"/>
        </w:rPr>
        <w:t>对“大查房/OncoRounds”而言，不宜与它正面争夺“什么都能问”的通用入口。更有价值的差异化是：</w:t>
      </w:r>
      <w:r>
        <w:rPr>
          <w:rFonts w:eastAsia="等线" w:ascii="Arial" w:cs="Arial" w:hAnsi="Arial"/>
          <w:b w:val="true"/>
          <w:sz w:val="22"/>
        </w:rPr>
        <w:t>把肿瘤病例转化为经过验证、可教学、可追溯、可发布的五道单选题，并把证据类型、证据定位和发布门槛做得比它更严格、更透明。</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二、产品定位与商业意图</w:t>
      </w:r>
      <w:bookmarkEnd w:id="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截图可见事实</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分析判断</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目标用户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使用“处方点评、病例分析、指南、专科订阅”等医生术语</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核心用户应为临床医生，可能兼顾医学生和药师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核心价值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首页口号为“你的循证搭子·丁香园”；自然语言检索文献；提交病例获得分析建议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以“循证可信 + 降低检索门槛 + 处理复杂病例”为卖点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使用场景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文献查询、处方点评、病例图片上传、临床问题输入、每日内容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覆盖诊前查证、诊疗中决策辅助、诊后复盘与持续学习</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留存机制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“每日医奏”、专科订阅、今日内容流、历史会话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通过内容分发和历史资产提高回访频率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变现模式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临床决策会员按月/年订阅；年卡标价 ¥798、月卡 ¥98；首次连续包年 ¥398、次年续费 ¥598；首次连续包月 ¥9；会员每日额度 20 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面向个人医生的专业订阅，以低价首月获客、年度优惠锁定和丁香园用药助手捆绑提升客单价与续费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信任机制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显示检索过程、文献来源、期刊类型、引用原文和“查看来源”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把“可解释的检索路径”作为与通用 AI 区隔的核心产品资产</w:t>
            </w:r>
          </w:p>
        </w:tc>
      </w:tr>
    </w:tbl>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三、关键体验流程与健康度</w:t>
      </w:r>
      <w:bookmarkEnd w:id="2"/>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Step 1：从统一首页选择任务 — 健康度：良好</w:t>
      </w:r>
      <w:bookmarkEnd w:id="3"/>
    </w:p>
    <w:p>
      <w:pPr>
        <w:spacing w:before="120" w:after="120" w:line="288" w:lineRule="auto"/>
        <w:ind w:left="0"/>
        <w:jc w:val="left"/>
      </w:pPr>
    </w:p>
    <w:p>
      <w:pPr>
        <w:spacing w:before="120" w:after="120" w:line="288" w:lineRule="auto"/>
        <w:ind w:left="0"/>
        <w:jc w:val="center"/>
      </w:pPr>
      <w:r>
        <w:drawing>
          <wp:inline distT="0" distR="0" distB="0" distL="0">
            <wp:extent cx="2571750" cy="5229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571750" cy="5229225"/>
                    </a:xfrm>
                    <a:prstGeom prst="rect">
                      <a:avLst/>
                    </a:prstGeom>
                  </pic:spPr>
                </pic:pic>
              </a:graphicData>
            </a:graphic>
          </wp:inline>
        </w:drawing>
      </w:r>
    </w:p>
    <w:p>
      <w:pPr>
        <w:numPr>
          <w:numId w:val="3"/>
        </w:numPr>
        <w:spacing w:before="120" w:after="120" w:line="288" w:lineRule="auto"/>
        <w:ind w:left="0"/>
        <w:jc w:val="left"/>
      </w:pPr>
      <w:r>
        <w:rPr>
          <w:rFonts w:eastAsia="等线" w:ascii="Arial" w:cs="Arial" w:hAnsi="Arial"/>
          <w:sz w:val="22"/>
        </w:rPr>
        <w:t>首页把“每日医奏”“查文献/指南”和底部的“病例分析、处方点评、查文献/指南”集中在同一屏，任务入口直观。</w:t>
      </w:r>
    </w:p>
    <w:p>
      <w:pPr>
        <w:numPr>
          <w:numId w:val="4"/>
        </w:numPr>
        <w:spacing w:before="120" w:after="120" w:line="288" w:lineRule="auto"/>
        <w:ind w:left="0"/>
        <w:jc w:val="left"/>
      </w:pPr>
      <w:r>
        <w:rPr>
          <w:rFonts w:eastAsia="等线" w:ascii="Arial" w:cs="Arial" w:hAnsi="Arial"/>
          <w:sz w:val="22"/>
        </w:rPr>
        <w:t>示例问题降低首次使用成本，输入框和发送按钮足够醒目。</w:t>
      </w:r>
    </w:p>
    <w:p>
      <w:pPr>
        <w:numPr>
          <w:numId w:val="5"/>
        </w:numPr>
        <w:spacing w:before="120" w:after="120" w:line="288" w:lineRule="auto"/>
        <w:ind w:left="0"/>
        <w:jc w:val="left"/>
      </w:pPr>
      <w:r>
        <w:rPr>
          <w:rFonts w:eastAsia="等线" w:ascii="Arial" w:cs="Arial" w:hAnsi="Arial"/>
          <w:sz w:val="22"/>
        </w:rPr>
        <w:t>风险是入口重复且层级略混乱：“查文献/指南”同时出现在卡片和快捷标签中；用户不清楚直接输入与先选模式的结果差异。</w:t>
      </w:r>
    </w:p>
    <w:p>
      <w:pPr>
        <w:numPr>
          <w:numId w:val="6"/>
        </w:numPr>
        <w:spacing w:before="120" w:after="120" w:line="288" w:lineRule="auto"/>
        <w:ind w:left="0"/>
        <w:jc w:val="left"/>
      </w:pPr>
      <w:r>
        <w:rPr>
          <w:rFonts w:eastAsia="等线" w:ascii="Arial" w:cs="Arial" w:hAnsi="Arial"/>
          <w:sz w:val="22"/>
        </w:rPr>
        <w:t>首屏品牌区和大片留白占用较高，真正的高频操作集中在屏幕底部，单手操作友好，但内容密度偏低。</w:t>
      </w:r>
    </w:p>
    <w:p>
      <w:pPr>
        <w:spacing w:before="120" w:after="120" w:line="288" w:lineRule="auto"/>
        <w:ind w:left="453"/>
        <w:jc w:val="left"/>
      </w:pPr>
    </w:p>
    <w:p>
      <w:pPr>
        <w:pStyle w:val="3"/>
        <w:spacing w:before="300" w:after="120" w:line="288" w:lineRule="auto"/>
        <w:ind w:left="0"/>
        <w:jc w:val="left"/>
        <w:outlineLvl w:val="2"/>
      </w:pPr>
      <w:bookmarkStart w:name="heading_4" w:id="4"/>
      <w:r>
        <w:rPr>
          <w:rFonts w:eastAsia="等线" w:ascii="Arial" w:cs="Arial" w:hAnsi="Arial"/>
          <w:b w:val="true"/>
          <w:sz w:val="30"/>
        </w:rPr>
        <w:t>Step 2：进入文献/指南模式 — 健康度：良好</w:t>
      </w:r>
      <w:bookmarkEnd w:id="4"/>
    </w:p>
    <w:p>
      <w:pPr>
        <w:spacing w:before="120" w:after="120" w:line="288" w:lineRule="auto"/>
        <w:ind w:left="0"/>
        <w:jc w:val="center"/>
      </w:pPr>
      <w:r>
        <w:drawing>
          <wp:inline distT="0" distR="0" distB="0" distL="0">
            <wp:extent cx="2552700" cy="5381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552700" cy="5381625"/>
                    </a:xfrm>
                    <a:prstGeom prst="rect">
                      <a:avLst/>
                    </a:prstGeom>
                  </pic:spPr>
                </pic:pic>
              </a:graphicData>
            </a:graphic>
          </wp:inline>
        </w:drawing>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sz w:val="22"/>
        </w:rPr>
        <w:t>模式页用一句话解释价值：“用自然语言检索文献，告别复杂检索技巧”，并提供三个真实感较强的示例。</w:t>
      </w:r>
    </w:p>
    <w:p>
      <w:pPr>
        <w:numPr>
          <w:numId w:val="8"/>
        </w:numPr>
        <w:spacing w:before="120" w:after="120" w:line="288" w:lineRule="auto"/>
        <w:ind w:left="0"/>
        <w:jc w:val="left"/>
      </w:pPr>
      <w:r>
        <w:rPr>
          <w:rFonts w:eastAsia="等线" w:ascii="Arial" w:cs="Arial" w:hAnsi="Arial"/>
          <w:sz w:val="22"/>
        </w:rPr>
        <w:t>用户不需要学习 PICO、MeSH 或布尔检索即可开始，进入成本低。</w:t>
      </w:r>
    </w:p>
    <w:p>
      <w:pPr>
        <w:numPr>
          <w:numId w:val="9"/>
        </w:numPr>
        <w:spacing w:before="120" w:after="120" w:line="288" w:lineRule="auto"/>
        <w:ind w:left="0"/>
        <w:jc w:val="left"/>
      </w:pPr>
      <w:r>
        <w:rPr>
          <w:rFonts w:eastAsia="等线" w:ascii="Arial" w:cs="Arial" w:hAnsi="Arial"/>
          <w:sz w:val="22"/>
        </w:rPr>
        <w:t>截图未显示检索范围、时间范围、文献类型、语言、排序或高级筛选，因此专业用户能否控制召回与精度仍未知。</w:t>
      </w:r>
    </w:p>
    <w:p>
      <w:pPr>
        <w:spacing w:before="120" w:after="120" w:line="288" w:lineRule="auto"/>
        <w:ind w:left="453"/>
        <w:jc w:val="left"/>
      </w:pPr>
    </w:p>
    <w:p>
      <w:pPr>
        <w:pStyle w:val="3"/>
        <w:spacing w:before="300" w:after="120" w:line="288" w:lineRule="auto"/>
        <w:ind w:left="0"/>
        <w:jc w:val="left"/>
        <w:outlineLvl w:val="2"/>
      </w:pPr>
      <w:bookmarkStart w:name="heading_5" w:id="5"/>
      <w:r>
        <w:rPr>
          <w:rFonts w:eastAsia="等线" w:ascii="Arial" w:cs="Arial" w:hAnsi="Arial"/>
          <w:b w:val="true"/>
          <w:sz w:val="30"/>
        </w:rPr>
        <w:t>Step 3：通过“每日医奏”形成日常回访 — 健康度：良好</w:t>
      </w:r>
      <w:bookmarkEnd w:id="5"/>
    </w:p>
    <w:p>
      <w:pPr>
        <w:spacing w:before="120" w:after="120" w:line="288" w:lineRule="auto"/>
        <w:ind w:left="0"/>
        <w:jc w:val="left"/>
      </w:pPr>
    </w:p>
    <w:p>
      <w:pPr>
        <w:spacing w:before="120" w:after="120" w:line="288" w:lineRule="auto"/>
        <w:ind w:left="0"/>
        <w:jc w:val="center"/>
      </w:pPr>
      <w:r>
        <w:drawing>
          <wp:inline distT="0" distR="0" distB="0" distL="0">
            <wp:extent cx="2733675" cy="56673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2733675" cy="5667375"/>
                    </a:xfrm>
                    <a:prstGeom prst="rect">
                      <a:avLst/>
                    </a:prstGeom>
                  </pic:spPr>
                </pic:pic>
              </a:graphicData>
            </a:graphic>
          </wp:inline>
        </w:drawing>
      </w:r>
    </w:p>
    <w:p>
      <w:pPr>
        <w:numPr>
          <w:numId w:val="10"/>
        </w:numPr>
        <w:spacing w:before="120" w:after="120" w:line="288" w:lineRule="auto"/>
        <w:ind w:left="0"/>
        <w:jc w:val="left"/>
      </w:pPr>
      <w:r>
        <w:rPr>
          <w:rFonts w:eastAsia="等线" w:ascii="Arial" w:cs="Arial" w:hAnsi="Arial"/>
          <w:sz w:val="22"/>
        </w:rPr>
        <w:t>专科订阅、今日内容、标签、来源期刊、影响因子和“临床实践提醒”共同构成高可扫读的信息流。</w:t>
      </w:r>
    </w:p>
    <w:p>
      <w:pPr>
        <w:numPr>
          <w:numId w:val="11"/>
        </w:numPr>
        <w:spacing w:before="120" w:after="120" w:line="288" w:lineRule="auto"/>
        <w:ind w:left="0"/>
        <w:jc w:val="left"/>
      </w:pPr>
      <w:r>
        <w:rPr>
          <w:rFonts w:eastAsia="等线" w:ascii="Arial" w:cs="Arial" w:hAnsi="Arial"/>
          <w:sz w:val="22"/>
        </w:rPr>
        <w:t>内容把“论文标题”翻译成“我今天该注意什么”，比纯论文聚合更接近临床工作。</w:t>
      </w:r>
    </w:p>
    <w:p>
      <w:pPr>
        <w:numPr>
          <w:numId w:val="12"/>
        </w:numPr>
        <w:spacing w:before="120" w:after="120" w:line="288" w:lineRule="auto"/>
        <w:ind w:left="0"/>
        <w:jc w:val="left"/>
      </w:pPr>
      <w:r>
        <w:rPr>
          <w:rFonts w:eastAsia="等线" w:ascii="Arial" w:cs="Arial" w:hAnsi="Arial"/>
          <w:sz w:val="22"/>
        </w:rPr>
        <w:t>风险是卡片文本仍很长，移动端扫读负担高；“重点更新/临床实践提醒”如何生成、是否经人工审核，在截图中没有披露。</w:t>
      </w:r>
    </w:p>
    <w:p>
      <w:pPr>
        <w:numPr>
          <w:numId w:val="13"/>
        </w:numPr>
        <w:spacing w:before="120" w:after="120" w:line="288" w:lineRule="auto"/>
        <w:ind w:left="0"/>
        <w:jc w:val="left"/>
      </w:pPr>
      <w:r>
        <w:rPr>
          <w:rFonts w:eastAsia="等线" w:ascii="Arial" w:cs="Arial" w:hAnsi="Arial"/>
          <w:sz w:val="22"/>
        </w:rPr>
        <w:t>“订阅管理”和“立即订阅”清晰地服务于留存，而非一次性问答。</w:t>
      </w:r>
    </w:p>
    <w:p>
      <w:pPr>
        <w:spacing w:before="120" w:after="120" w:line="288" w:lineRule="auto"/>
        <w:ind w:left="453"/>
        <w:jc w:val="left"/>
      </w:pPr>
    </w:p>
    <w:p>
      <w:pPr>
        <w:pStyle w:val="3"/>
        <w:spacing w:before="300" w:after="120" w:line="288" w:lineRule="auto"/>
        <w:ind w:left="0"/>
        <w:jc w:val="left"/>
        <w:outlineLvl w:val="2"/>
      </w:pPr>
      <w:bookmarkStart w:name="heading_6" w:id="6"/>
      <w:r>
        <w:rPr>
          <w:rFonts w:eastAsia="等线" w:ascii="Arial" w:cs="Arial" w:hAnsi="Arial"/>
          <w:b w:val="true"/>
          <w:sz w:val="30"/>
        </w:rPr>
        <w:t>Step 4：侧栏承接会员、历史与内容资产 — 健康度：一般</w:t>
      </w:r>
      <w:bookmarkEnd w:id="6"/>
    </w:p>
    <w:p>
      <w:pPr>
        <w:spacing w:before="120" w:after="120" w:line="288" w:lineRule="auto"/>
        <w:ind w:left="0"/>
        <w:jc w:val="left"/>
      </w:pPr>
    </w:p>
    <w:p>
      <w:pPr>
        <w:spacing w:before="120" w:after="120" w:line="288" w:lineRule="auto"/>
        <w:ind w:left="0"/>
        <w:jc w:val="center"/>
      </w:pPr>
      <w:r>
        <w:drawing>
          <wp:inline distT="0" distR="0" distB="0" distL="0">
            <wp:extent cx="2838450" cy="59150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2838450" cy="5915025"/>
                    </a:xfrm>
                    <a:prstGeom prst="rect">
                      <a:avLst/>
                    </a:prstGeom>
                  </pic:spPr>
                </pic:pic>
              </a:graphicData>
            </a:graphic>
          </wp:inline>
        </w:drawing>
      </w:r>
    </w:p>
    <w:p>
      <w:pPr>
        <w:numPr>
          <w:numId w:val="14"/>
        </w:numPr>
        <w:spacing w:before="120" w:after="120" w:line="288" w:lineRule="auto"/>
        <w:ind w:left="0"/>
        <w:jc w:val="left"/>
      </w:pPr>
      <w:r>
        <w:rPr>
          <w:rFonts w:eastAsia="等线" w:ascii="Arial" w:cs="Arial" w:hAnsi="Arial"/>
          <w:sz w:val="22"/>
        </w:rPr>
        <w:t>会员横幅处于最高视觉优先级，商业路径明确；历史会话保留病例、处方、文献检索等多种任务。</w:t>
      </w:r>
    </w:p>
    <w:p>
      <w:pPr>
        <w:numPr>
          <w:numId w:val="15"/>
        </w:numPr>
        <w:spacing w:before="120" w:after="120" w:line="288" w:lineRule="auto"/>
        <w:ind w:left="0"/>
        <w:jc w:val="left"/>
      </w:pPr>
      <w:r>
        <w:rPr>
          <w:rFonts w:eastAsia="等线" w:ascii="Arial" w:cs="Arial" w:hAnsi="Arial"/>
          <w:sz w:val="22"/>
        </w:rPr>
        <w:t>历史会话支持单条重命名和删除；未见搜索、筛选、日期、病例标签、收藏、归档或批量操作。→ 详见 P2-2。删除后是否同步清除服务器副本及原图，证据不足。→ 详见 P1-3。</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Step 4-A：个人中心、账号设置与医生认证 — 健康度：一般</w:t>
      </w:r>
      <w:bookmarkEnd w:id="7"/>
    </w:p>
    <w:p>
      <w:pPr>
        <w:spacing w:before="120" w:after="120" w:line="288" w:lineRule="auto"/>
        <w:ind w:left="0"/>
        <w:jc w:val="left"/>
      </w:pPr>
    </w:p>
    <w:p>
      <w:pPr>
        <w:spacing w:before="120" w:after="120" w:line="288" w:lineRule="auto"/>
        <w:ind w:left="0"/>
        <w:jc w:val="center"/>
      </w:pPr>
      <w:r>
        <w:drawing>
          <wp:inline distT="0" distR="0" distB="0" distL="0">
            <wp:extent cx="2838450" cy="60388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838450" cy="603885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隐私说明：截图包含账号标识，本报告不重复展示或转录其具体值。</w:t>
            </w:r>
          </w:p>
        </w:tc>
      </w:tr>
    </w:tbl>
    <w:p>
      <w:pPr>
        <w:spacing w:before="120" w:after="120" w:line="288" w:lineRule="auto"/>
        <w:ind w:left="0"/>
        <w:jc w:val="left"/>
      </w:pPr>
    </w:p>
    <w:p>
      <w:pPr>
        <w:numPr>
          <w:numId w:val="16"/>
        </w:numPr>
        <w:spacing w:before="120" w:after="120" w:line="288" w:lineRule="auto"/>
        <w:ind w:left="0"/>
        <w:jc w:val="left"/>
      </w:pPr>
      <w:r>
        <w:rPr>
          <w:rFonts w:eastAsia="等线" w:ascii="Arial" w:cs="Arial" w:hAnsi="Arial"/>
          <w:sz w:val="22"/>
        </w:rPr>
        <w:t>个人中心将会员、扫码兑换、字体设置、账号与绑定、权限设置、版本/关于、隐私和退出登录集中在一处，信息分组清楚；同时明确桌面端入口，体现跨端使用策略。</w:t>
      </w:r>
    </w:p>
    <w:p>
      <w:pPr>
        <w:numPr>
          <w:numId w:val="17"/>
        </w:numPr>
        <w:spacing w:before="120" w:after="120" w:line="288" w:lineRule="auto"/>
        <w:ind w:left="0"/>
        <w:jc w:val="left"/>
      </w:pPr>
      <w:r>
        <w:rPr>
          <w:rFonts w:eastAsia="等线" w:ascii="Arial" w:cs="Arial" w:hAnsi="Arial"/>
          <w:sz w:val="22"/>
        </w:rPr>
        <w:t>“字体设置”是少见但有价值的可读性入口；“权限设置”也给用户提供了管理系统权限的显性路径。实际可选字号范围、动态字体适配和权限撤回后的功能降级仍需实测。</w:t>
      </w:r>
    </w:p>
    <w:p>
      <w:pPr>
        <w:numPr>
          <w:numId w:val="18"/>
        </w:numPr>
        <w:spacing w:before="120" w:after="120" w:line="288" w:lineRule="auto"/>
        <w:ind w:left="0"/>
        <w:jc w:val="left"/>
      </w:pPr>
      <w:r>
        <w:rPr>
          <w:rFonts w:eastAsia="等线" w:ascii="Arial" w:cs="Arial" w:hAnsi="Arial"/>
          <w:sz w:val="22"/>
        </w:rPr>
        <w:t>个人信息页支持头像、昵称、城市、简介和医生认证。认证入口按执业医师、医学生、药师、护士和其他医疗从业者分流，可为专业身份、内容可信度和功能分层提供基础。</w:t>
      </w:r>
    </w:p>
    <w:p>
      <w:pPr>
        <w:numPr>
          <w:numId w:val="19"/>
        </w:numPr>
        <w:spacing w:before="120" w:after="120" w:line="288" w:lineRule="auto"/>
        <w:ind w:left="0"/>
        <w:jc w:val="left"/>
      </w:pPr>
      <w:r>
        <w:rPr>
          <w:rFonts w:eastAsia="等线" w:ascii="Arial" w:cs="Arial" w:hAnsi="Arial"/>
          <w:sz w:val="22"/>
        </w:rPr>
        <w:t>“扫一扫—兑换会员”说明产品除直接订阅外，还可能承接兑换码、活动或机构分发渠道；具体规则无法由截图确认。</w:t>
      </w:r>
    </w:p>
    <w:p>
      <w:pPr>
        <w:numPr>
          <w:numId w:val="20"/>
        </w:numPr>
        <w:spacing w:before="120" w:after="120" w:line="288" w:lineRule="auto"/>
        <w:ind w:left="0"/>
        <w:jc w:val="left"/>
      </w:pPr>
      <w:r>
        <w:rPr>
          <w:rFonts w:eastAsia="等线" w:ascii="Arial" w:cs="Arial" w:hAnsi="Arial"/>
          <w:sz w:val="22"/>
        </w:rPr>
        <w:t>新截图确认“账号与绑定设置”内提供手机号、邮箱、密码、第三方账号绑定和账号注销；“隐私”页提供个人信息收集清单、第三方信息数据共享、个人信息下载等入口。相比上一轮证据，账号级数据控制已较完整。</w:t>
      </w:r>
    </w:p>
    <w:p>
      <w:pPr>
        <w:numPr>
          <w:numId w:val="21"/>
        </w:numPr>
        <w:spacing w:before="120" w:after="120" w:line="288" w:lineRule="auto"/>
        <w:ind w:left="0"/>
        <w:jc w:val="left"/>
      </w:pPr>
      <w:r>
        <w:rPr>
          <w:rFonts w:eastAsia="等线" w:ascii="Arial" w:cs="Arial" w:hAnsi="Arial"/>
          <w:sz w:val="22"/>
        </w:rPr>
        <w:t>个人信息下载是否包含病例、会话、上传原图和生成内容尚未确认。→ 详见 P1-3。</w:t>
      </w:r>
    </w:p>
    <w:p>
      <w:pPr>
        <w:numPr>
          <w:numId w:val="22"/>
        </w:numPr>
        <w:spacing w:before="120" w:after="120" w:line="288" w:lineRule="auto"/>
        <w:ind w:left="0"/>
        <w:jc w:val="left"/>
      </w:pPr>
      <w:r>
        <w:rPr>
          <w:rFonts w:eastAsia="等线" w:ascii="Arial" w:cs="Arial" w:hAnsi="Arial"/>
          <w:sz w:val="22"/>
        </w:rPr>
        <w:t>个人信息页的大面积空白和浅灰辅助文字保持了简洁感，但弱对比文本与细箭头在低视力场景下存在识别风险。</w:t>
      </w:r>
    </w:p>
    <w:p>
      <w:pPr>
        <w:spacing w:before="120" w:after="120" w:line="288" w:lineRule="auto"/>
        <w:ind w:left="453"/>
        <w:jc w:val="left"/>
      </w:pPr>
    </w:p>
    <w:p>
      <w:pPr>
        <w:pStyle w:val="3"/>
        <w:spacing w:before="300" w:after="120" w:line="288" w:lineRule="auto"/>
        <w:ind w:left="0"/>
        <w:jc w:val="left"/>
        <w:outlineLvl w:val="2"/>
      </w:pPr>
      <w:bookmarkStart w:name="heading_8" w:id="8"/>
      <w:r>
        <w:rPr>
          <w:rFonts w:eastAsia="等线" w:ascii="Arial" w:cs="Arial" w:hAnsi="Arial"/>
          <w:b w:val="true"/>
          <w:sz w:val="30"/>
        </w:rPr>
        <w:t>Step 4-B：隐私中心与账号注销 — 健康度：良好，删除语义需验证</w:t>
      </w:r>
      <w:bookmarkEnd w:id="8"/>
    </w:p>
    <w:p>
      <w:pPr>
        <w:spacing w:before="120" w:after="120" w:line="288" w:lineRule="auto"/>
        <w:ind w:left="0"/>
        <w:jc w:val="center"/>
      </w:pPr>
      <w:r>
        <w:drawing>
          <wp:inline distT="0" distR="0" distB="0" distL="0">
            <wp:extent cx="3152775" cy="32956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3152775" cy="3295650"/>
                    </a:xfrm>
                    <a:prstGeom prst="rect">
                      <a:avLst/>
                    </a:prstGeom>
                  </pic:spPr>
                </pic:pic>
              </a:graphicData>
            </a:graphic>
          </wp:inline>
        </w:drawing>
      </w:r>
    </w:p>
    <w:p>
      <w:pPr>
        <w:numPr>
          <w:numId w:val="23"/>
        </w:numPr>
        <w:spacing w:before="120" w:after="120" w:line="288" w:lineRule="auto"/>
        <w:ind w:left="0"/>
        <w:jc w:val="left"/>
      </w:pPr>
      <w:r>
        <w:rPr>
          <w:rFonts w:eastAsia="等线" w:ascii="Arial" w:cs="Arial" w:hAnsi="Arial"/>
          <w:sz w:val="22"/>
        </w:rPr>
        <w:t>隐私中心将公示、协议、隐私政策、个人信息收集清单、第三方共享和个人信息下载集中展示，信息架构比只有一份长隐私政策更透明。</w:t>
      </w:r>
    </w:p>
    <w:p>
      <w:pPr>
        <w:numPr>
          <w:numId w:val="24"/>
        </w:numPr>
        <w:spacing w:before="120" w:after="120" w:line="288" w:lineRule="auto"/>
        <w:ind w:left="0"/>
        <w:jc w:val="left"/>
      </w:pPr>
      <w:r>
        <w:rPr>
          <w:rFonts w:eastAsia="等线" w:ascii="Arial" w:cs="Arial" w:hAnsi="Arial"/>
          <w:sz w:val="22"/>
        </w:rPr>
        <w:t>账号注销位于“账号绑定与设置”的高级设置中；注销页使用红色警示、不可恢复说明、须知勾选和明确的危险操作按钮，防误触设计合理。</w:t>
      </w:r>
    </w:p>
    <w:p>
      <w:pPr>
        <w:numPr>
          <w:numId w:val="25"/>
        </w:numPr>
        <w:spacing w:before="120" w:after="120" w:line="288" w:lineRule="auto"/>
        <w:ind w:left="0"/>
        <w:jc w:val="left"/>
      </w:pPr>
      <w:r>
        <w:rPr>
          <w:rFonts w:eastAsia="等线" w:ascii="Arial" w:cs="Arial" w:hAnsi="Arial"/>
          <w:sz w:val="22"/>
        </w:rPr>
        <w:t>但注销页没有在同屏说明会员退款/续费处理、病例与上传原图的删除范围、法定留存例外、处理完成时限或导出提醒。是否真正完成全链路删除仍需验证。</w:t>
      </w:r>
    </w:p>
    <w:p>
      <w:pPr>
        <w:numPr>
          <w:numId w:val="26"/>
        </w:numPr>
        <w:spacing w:before="120" w:after="120" w:line="288" w:lineRule="auto"/>
        <w:ind w:left="0"/>
        <w:jc w:val="left"/>
      </w:pPr>
      <w:r>
        <w:rPr>
          <w:rFonts w:eastAsia="等线" w:ascii="Arial" w:cs="Arial" w:hAnsi="Arial"/>
          <w:sz w:val="22"/>
        </w:rPr>
        <w:t>权限设置只呈现相册和相机权限，且均显示已开启；入口明确，但无法确认用户关闭后能否改用文件选择、文字输入或其他降级路径。</w:t>
      </w:r>
    </w:p>
    <w:p>
      <w:pPr>
        <w:spacing w:before="120" w:after="120" w:line="288" w:lineRule="auto"/>
        <w:ind w:left="453"/>
        <w:jc w:val="left"/>
      </w:pPr>
    </w:p>
    <w:p>
      <w:pPr>
        <w:pStyle w:val="3"/>
        <w:spacing w:before="300" w:after="120" w:line="288" w:lineRule="auto"/>
        <w:ind w:left="0"/>
        <w:jc w:val="left"/>
        <w:outlineLvl w:val="2"/>
      </w:pPr>
      <w:bookmarkStart w:name="heading_9" w:id="9"/>
      <w:bookmarkEnd w:id="9"/>
      <w:r>
        <w:rPr>
          <w:rFonts w:eastAsia="等线" w:ascii="Arial" w:cs="Arial" w:hAnsi="Arial"/>
          <w:b w:val="true"/>
          <w:sz w:val="30"/>
        </w:rPr>
        <w:t>Step 4-C：专业身份认证 — 健康度：一般</w:t>
      </w:r>
    </w:p>
    <w:p>
      <w:pPr>
        <w:spacing w:before="120" w:after="120" w:line="288" w:lineRule="auto"/>
        <w:ind w:left="0"/>
        <w:jc w:val="center"/>
      </w:pPr>
      <w:r>
        <w:drawing>
          <wp:inline distT="0" distR="0" distB="0" distL="0">
            <wp:extent cx="3181350" cy="67722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3181350" cy="6772275"/>
                    </a:xfrm>
                    <a:prstGeom prst="rect">
                      <a:avLst/>
                    </a:prstGeom>
                  </pic:spPr>
                </pic:pic>
              </a:graphicData>
            </a:graphic>
          </wp:inline>
        </w:drawing>
      </w:r>
    </w:p>
    <w:p>
      <w:pPr>
        <w:numPr>
          <w:numId w:val="27"/>
        </w:numPr>
        <w:spacing w:before="120" w:after="120" w:line="288" w:lineRule="auto"/>
        <w:ind w:left="0"/>
        <w:jc w:val="left"/>
      </w:pPr>
      <w:r>
        <w:rPr>
          <w:rFonts w:eastAsia="等线" w:ascii="Arial" w:cs="Arial" w:hAnsi="Arial"/>
          <w:sz w:val="22"/>
        </w:rPr>
        <w:t>产品先让用户选择执业医师、医学生、药师、护士或其他医疗从业者，再进入对应认证表单，分流清晰。</w:t>
      </w:r>
    </w:p>
    <w:p>
      <w:pPr>
        <w:numPr>
          <w:numId w:val="28"/>
        </w:numPr>
        <w:spacing w:before="120" w:after="120" w:line="288" w:lineRule="auto"/>
        <w:ind w:left="0"/>
        <w:jc w:val="left"/>
      </w:pPr>
      <w:r>
        <w:rPr>
          <w:rFonts w:eastAsia="等线" w:ascii="Arial" w:cs="Arial" w:hAnsi="Arial"/>
          <w:sz w:val="22"/>
        </w:rPr>
        <w:t>执业医师认证可见字段包括真实姓名、手机号、医院、科室、职称、职务和身份号码，并要求同意专业认证协议；这些数据可支持资格核验，但均属高敏感身份与职业信息。</w:t>
      </w:r>
    </w:p>
    <w:p>
      <w:pPr>
        <w:numPr>
          <w:numId w:val="29"/>
        </w:numPr>
        <w:spacing w:before="120" w:after="120" w:line="288" w:lineRule="auto"/>
        <w:ind w:left="0"/>
        <w:jc w:val="left"/>
      </w:pPr>
      <w:r>
        <w:rPr>
          <w:rFonts w:eastAsia="等线" w:ascii="Arial" w:cs="Arial" w:hAnsi="Arial"/>
          <w:sz w:val="22"/>
        </w:rPr>
        <w:t>页面宣称认证信息“仅用于资格认证”，但未展示审核主体、核验数据源、材料保存期限、认证撤回及访问权限。→ 详见 P1-4。</w:t>
      </w:r>
    </w:p>
    <w:p>
      <w:pPr>
        <w:numPr>
          <w:numId w:val="30"/>
        </w:numPr>
        <w:spacing w:before="120" w:after="120" w:line="288" w:lineRule="auto"/>
        <w:ind w:left="0"/>
        <w:jc w:val="left"/>
      </w:pPr>
      <w:r>
        <w:rPr>
          <w:rFonts w:eastAsia="等线" w:ascii="Arial" w:cs="Arial" w:hAnsi="Arial"/>
          <w:sz w:val="22"/>
        </w:rPr>
        <w:t>页面显示“95%的医疗同行已通过认证”，未见统计口径、样本范围和更新时间。→ 详见 P1-4。</w:t>
      </w:r>
    </w:p>
    <w:p>
      <w:pPr>
        <w:numPr>
          <w:numId w:val="31"/>
        </w:numPr>
        <w:spacing w:before="120" w:after="120" w:line="288" w:lineRule="auto"/>
        <w:ind w:left="0"/>
        <w:jc w:val="left"/>
      </w:pPr>
      <w:r>
        <w:rPr>
          <w:rFonts w:eastAsia="等线" w:ascii="Arial" w:cs="Arial" w:hAnsi="Arial"/>
          <w:sz w:val="22"/>
        </w:rPr>
        <w:t>海外及港澳台用户被引导至在线客服且标明服务时间，覆盖了例外路径，但人工客服会增加认证成本和等待时间。</w:t>
      </w:r>
    </w:p>
    <w:p>
      <w:pPr>
        <w:spacing w:before="120" w:after="120" w:line="288" w:lineRule="auto"/>
        <w:ind w:left="453"/>
        <w:jc w:val="left"/>
      </w:pPr>
    </w:p>
    <w:p>
      <w:pPr>
        <w:pStyle w:val="3"/>
        <w:spacing w:before="300" w:after="120" w:line="288" w:lineRule="auto"/>
        <w:ind w:left="0"/>
        <w:jc w:val="left"/>
        <w:outlineLvl w:val="2"/>
      </w:pPr>
      <w:bookmarkStart w:name="heading_10" w:id="10"/>
      <w:r>
        <w:rPr>
          <w:rFonts w:eastAsia="等线" w:ascii="Arial" w:cs="Arial" w:hAnsi="Arial"/>
          <w:b w:val="true"/>
          <w:sz w:val="30"/>
        </w:rPr>
        <w:t>Step 4-D：病例入口与会话生命周期 — 健康度：一般</w:t>
      </w:r>
      <w:bookmarkEnd w:id="10"/>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0768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2476500" cy="50768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4954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2476500" cy="1495425"/>
                          </a:xfrm>
                          <a:prstGeom prst="rect">
                            <a:avLst/>
                          </a:prstGeom>
                        </pic:spPr>
                      </pic:pic>
                    </a:graphicData>
                  </a:graphic>
                </wp:inline>
              </w:drawing>
            </w:r>
          </w:p>
          <w:p>
            <w:pPr>
              <w:spacing w:before="120" w:after="120" w:line="288" w:lineRule="auto"/>
              <w:ind w:left="0"/>
              <w:jc w:val="left"/>
            </w:pPr>
          </w:p>
        </w:tc>
      </w:tr>
    </w:tbl>
    <w:p>
      <w:pPr>
        <w:numPr>
          <w:numId w:val="32"/>
        </w:numPr>
        <w:spacing w:before="120" w:after="120" w:line="288" w:lineRule="auto"/>
        <w:ind w:left="0"/>
        <w:jc w:val="left"/>
      </w:pPr>
      <w:r>
        <w:rPr>
          <w:rFonts w:eastAsia="等线" w:ascii="Arial" w:cs="Arial" w:hAnsi="Arial"/>
          <w:sz w:val="22"/>
        </w:rPr>
        <w:t>新的病例分析空状态同时提供拍照上传和文字输入，并明确可上传门诊病历、出入院记录或检查报告；两种输入方式降低了开始门槛。</w:t>
      </w:r>
    </w:p>
    <w:p>
      <w:pPr>
        <w:numPr>
          <w:numId w:val="33"/>
        </w:numPr>
        <w:spacing w:before="120" w:after="120" w:line="288" w:lineRule="auto"/>
        <w:ind w:left="0"/>
        <w:jc w:val="left"/>
      </w:pPr>
      <w:r>
        <w:rPr>
          <w:rFonts w:eastAsia="等线" w:ascii="Arial" w:cs="Arial" w:hAnsi="Arial"/>
          <w:sz w:val="22"/>
        </w:rPr>
        <w:t>提交按钮在没有输入时保持禁用；页面仍使用“不会识别任何隐私信息”文案。→ 详见 P0-1。</w:t>
      </w:r>
    </w:p>
    <w:p>
      <w:pPr>
        <w:numPr>
          <w:numId w:val="34"/>
        </w:numPr>
        <w:spacing w:before="120" w:after="120" w:line="288" w:lineRule="auto"/>
        <w:ind w:left="0"/>
        <w:jc w:val="left"/>
      </w:pPr>
      <w:r>
        <w:rPr>
          <w:rFonts w:eastAsia="等线" w:ascii="Arial" w:cs="Arial" w:hAnsi="Arial"/>
          <w:sz w:val="22"/>
        </w:rPr>
        <w:t>历史会话支持重命名和删除；用户实测删除后不可恢复。删除是否连带清除原图、结构化数据、模型记录和缓存尚未确认。→ 详见 P1-3。</w:t>
      </w:r>
    </w:p>
    <w:p>
      <w:pPr>
        <w:spacing w:before="120" w:after="120" w:line="288" w:lineRule="auto"/>
        <w:ind w:left="453"/>
        <w:jc w:val="left"/>
      </w:pPr>
    </w:p>
    <w:p>
      <w:pPr>
        <w:pStyle w:val="3"/>
        <w:spacing w:before="300" w:after="120" w:line="288" w:lineRule="auto"/>
        <w:ind w:left="0"/>
        <w:jc w:val="left"/>
        <w:outlineLvl w:val="2"/>
      </w:pPr>
      <w:bookmarkStart w:name="heading_11" w:id="11"/>
      <w:r>
        <w:rPr>
          <w:rFonts w:eastAsia="等线" w:ascii="Arial" w:cs="Arial" w:hAnsi="Arial"/>
          <w:b w:val="true"/>
          <w:sz w:val="30"/>
        </w:rPr>
        <w:t>Step 5：上传病例图片并补充信息 — 健康度：一般</w:t>
      </w:r>
      <w:bookmarkEnd w:id="11"/>
    </w:p>
    <w:p>
      <w:pPr>
        <w:spacing w:before="120" w:after="120" w:line="288" w:lineRule="auto"/>
        <w:ind w:left="0"/>
        <w:jc w:val="left"/>
      </w:pPr>
    </w:p>
    <w:p>
      <w:pPr>
        <w:spacing w:before="120" w:after="120" w:line="288" w:lineRule="auto"/>
        <w:ind w:left="0"/>
        <w:jc w:val="center"/>
      </w:pPr>
      <w:r>
        <w:drawing>
          <wp:inline distT="0" distR="0" distB="0" distL="0">
            <wp:extent cx="2695575" cy="46863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2695575" cy="4686300"/>
                    </a:xfrm>
                    <a:prstGeom prst="rect">
                      <a:avLst/>
                    </a:prstGeom>
                  </pic:spPr>
                </pic:pic>
              </a:graphicData>
            </a:graphic>
          </wp:inline>
        </w:drawing>
      </w:r>
    </w:p>
    <w:p>
      <w:pPr>
        <w:numPr>
          <w:numId w:val="35"/>
        </w:numPr>
        <w:spacing w:before="120" w:after="120" w:line="288" w:lineRule="auto"/>
        <w:ind w:left="0"/>
        <w:jc w:val="left"/>
      </w:pPr>
      <w:r>
        <w:rPr>
          <w:rFonts w:eastAsia="等线" w:ascii="Arial" w:cs="Arial" w:hAnsi="Arial"/>
          <w:sz w:val="22"/>
        </w:rPr>
        <w:t>图片上传 + 自由文本补充符合真实临床材料形态，降低手工录入门槛。</w:t>
      </w:r>
    </w:p>
    <w:p>
      <w:pPr>
        <w:numPr>
          <w:numId w:val="36"/>
        </w:numPr>
        <w:spacing w:before="120" w:after="120" w:line="288" w:lineRule="auto"/>
        <w:ind w:left="0"/>
        <w:jc w:val="left"/>
      </w:pPr>
      <w:r>
        <w:rPr>
          <w:rFonts w:eastAsia="等线" w:ascii="Arial" w:cs="Arial" w:hAnsi="Arial"/>
          <w:sz w:val="22"/>
        </w:rPr>
        <w:t>“可继续补充该患者病例信息”支持多张资料逐步完善。</w:t>
      </w:r>
    </w:p>
    <w:p>
      <w:pPr>
        <w:numPr>
          <w:numId w:val="37"/>
        </w:numPr>
        <w:spacing w:before="120" w:after="120" w:line="288" w:lineRule="auto"/>
        <w:ind w:left="0"/>
        <w:jc w:val="left"/>
      </w:pPr>
      <w:r>
        <w:rPr>
          <w:rFonts w:eastAsia="等线" w:ascii="Arial" w:cs="Arial" w:hAnsi="Arial"/>
          <w:sz w:val="22"/>
        </w:rPr>
        <w:t>页面仍显示“不会识别患者和医生任何隐私信息”。→ 详见 P0-1。</w:t>
      </w:r>
    </w:p>
    <w:p>
      <w:pPr>
        <w:numPr>
          <w:numId w:val="38"/>
        </w:numPr>
        <w:spacing w:before="120" w:after="120" w:line="288" w:lineRule="auto"/>
        <w:ind w:left="0"/>
        <w:jc w:val="left"/>
      </w:pPr>
      <w:r>
        <w:rPr>
          <w:rFonts w:eastAsia="等线" w:ascii="Arial" w:cs="Arial" w:hAnsi="Arial"/>
          <w:sz w:val="22"/>
        </w:rPr>
        <w:t>提交前未见可视化脱敏检查。→ 详见 P0-1。</w:t>
      </w:r>
    </w:p>
    <w:p>
      <w:pPr>
        <w:spacing w:before="120" w:after="120" w:line="288" w:lineRule="auto"/>
        <w:ind w:left="453"/>
        <w:jc w:val="left"/>
      </w:pPr>
    </w:p>
    <w:p>
      <w:pPr>
        <w:pStyle w:val="3"/>
        <w:spacing w:before="300" w:after="120" w:line="288" w:lineRule="auto"/>
        <w:ind w:left="0"/>
        <w:jc w:val="left"/>
        <w:outlineLvl w:val="2"/>
      </w:pPr>
      <w:bookmarkStart w:name="heading_12" w:id="12"/>
      <w:r>
        <w:rPr>
          <w:rFonts w:eastAsia="等线" w:ascii="Arial" w:cs="Arial" w:hAnsi="Arial"/>
          <w:b w:val="true"/>
          <w:sz w:val="30"/>
        </w:rPr>
        <w:t>Step 5-A：病例图片解析失败并重新上传 — 健康度：一般</w:t>
      </w:r>
      <w:bookmarkEnd w:id="12"/>
    </w:p>
    <w:p>
      <w:pPr>
        <w:spacing w:before="120" w:after="120" w:line="288" w:lineRule="auto"/>
        <w:ind w:left="0"/>
        <w:jc w:val="center"/>
      </w:pPr>
      <w:r>
        <w:drawing>
          <wp:inline distT="0" distR="0" distB="0" distL="0">
            <wp:extent cx="3838575" cy="25241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3838575" cy="2524125"/>
                    </a:xfrm>
                    <a:prstGeom prst="rect">
                      <a:avLst/>
                    </a:prstGeom>
                  </pic:spPr>
                </pic:pic>
              </a:graphicData>
            </a:graphic>
          </wp:inline>
        </w:drawing>
      </w:r>
    </w:p>
    <w:p>
      <w:pPr>
        <w:numPr>
          <w:numId w:val="39"/>
        </w:numPr>
        <w:spacing w:before="120" w:after="120" w:line="288" w:lineRule="auto"/>
        <w:ind w:left="0"/>
        <w:jc w:val="left"/>
      </w:pPr>
      <w:r>
        <w:rPr>
          <w:rFonts w:eastAsia="等线" w:ascii="Arial" w:cs="Arial" w:hAnsi="Arial"/>
          <w:sz w:val="22"/>
        </w:rPr>
        <w:t>系统明确告知“解析失败”，并提示可上传清晰的门诊病历、出入院记录、检查报告单等，至少说明了可接受的资料类型。</w:t>
      </w:r>
    </w:p>
    <w:p>
      <w:pPr>
        <w:numPr>
          <w:numId w:val="40"/>
        </w:numPr>
        <w:spacing w:before="120" w:after="120" w:line="288" w:lineRule="auto"/>
        <w:ind w:left="0"/>
        <w:jc w:val="left"/>
      </w:pPr>
      <w:r>
        <w:rPr>
          <w:rFonts w:eastAsia="等线" w:ascii="Arial" w:cs="Arial" w:hAnsi="Arial"/>
          <w:sz w:val="22"/>
        </w:rPr>
        <w:t>页面提供“重新上传”作为直接恢复动作，没有把用户困在死路中。</w:t>
      </w:r>
    </w:p>
    <w:p>
      <w:pPr>
        <w:numPr>
          <w:numId w:val="41"/>
        </w:numPr>
        <w:spacing w:before="120" w:after="120" w:line="288" w:lineRule="auto"/>
        <w:ind w:left="0"/>
        <w:jc w:val="left"/>
      </w:pPr>
      <w:r>
        <w:rPr>
          <w:rFonts w:eastAsia="等线" w:ascii="Arial" w:cs="Arial" w:hAnsi="Arial"/>
          <w:sz w:val="22"/>
        </w:rPr>
        <w:t>用户实测反馈：解析失败、停止生成和重试均不扣额度，这是合理的失败成本设计。</w:t>
      </w:r>
    </w:p>
    <w:p>
      <w:pPr>
        <w:numPr>
          <w:numId w:val="42"/>
        </w:numPr>
        <w:spacing w:before="120" w:after="120" w:line="288" w:lineRule="auto"/>
        <w:ind w:left="0"/>
        <w:jc w:val="left"/>
      </w:pPr>
      <w:r>
        <w:rPr>
          <w:rFonts w:eastAsia="等线" w:ascii="Arial" w:cs="Arial" w:hAnsi="Arial"/>
          <w:sz w:val="22"/>
        </w:rPr>
        <w:t>页面未说明解析失败的具体原因。→ 详见 P1-2。</w:t>
      </w:r>
    </w:p>
    <w:p>
      <w:pPr>
        <w:numPr>
          <w:numId w:val="43"/>
        </w:numPr>
        <w:spacing w:before="120" w:after="120" w:line="288" w:lineRule="auto"/>
        <w:ind w:left="0"/>
        <w:jc w:val="left"/>
      </w:pPr>
      <w:r>
        <w:rPr>
          <w:rFonts w:eastAsia="等线" w:ascii="Arial" w:cs="Arial" w:hAnsi="Arial"/>
          <w:sz w:val="22"/>
        </w:rPr>
        <w:t>上传前未见图片质量预检、裁切/旋转或清晰度提示。→ 详见 P1-2。</w:t>
      </w:r>
    </w:p>
    <w:p>
      <w:pPr>
        <w:numPr>
          <w:numId w:val="45"/>
        </w:numPr>
        <w:spacing w:before="120" w:after="120" w:line="288" w:lineRule="auto"/>
        <w:ind w:left="0"/>
        <w:jc w:val="left"/>
      </w:pPr>
      <w:r>
        <w:rPr>
          <w:rFonts w:eastAsia="等线" w:ascii="Arial" w:cs="Arial" w:hAnsi="Arial"/>
          <w:sz w:val="22"/>
        </w:rPr>
        <w:t>页面大部分区域为空，错误文字和“重新上传”链接尺寸较小、对比度偏低；在移动端强光和低视力场景下不够醒目。</w:t>
      </w:r>
    </w:p>
    <w:p>
      <w:pPr>
        <w:spacing w:before="120" w:after="120" w:line="288" w:lineRule="auto"/>
        <w:ind w:left="453"/>
        <w:jc w:val="left"/>
      </w:pPr>
    </w:p>
    <w:p>
      <w:pPr>
        <w:pStyle w:val="3"/>
        <w:spacing w:before="300" w:after="120" w:line="288" w:lineRule="auto"/>
        <w:ind w:left="0"/>
        <w:jc w:val="left"/>
        <w:outlineLvl w:val="2"/>
      </w:pPr>
      <w:bookmarkStart w:name="heading_13" w:id="13"/>
      <w:r>
        <w:rPr>
          <w:rFonts w:eastAsia="等线" w:ascii="Arial" w:cs="Arial" w:hAnsi="Arial"/>
          <w:b w:val="true"/>
          <w:sz w:val="30"/>
        </w:rPr>
        <w:t>Step 5-B：含直接身份标识的原始病历进入上传链路 — 健康度：高风险</w:t>
      </w:r>
      <w:bookmarkEnd w:id="13"/>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隐私说明：本节不展示原图，也不转录任何姓名、号码、地址、联系方式、条码、签名或精确就诊日期。</w:t>
            </w:r>
          </w:p>
        </w:tc>
      </w:tr>
    </w:tbl>
    <w:p>
      <w:pPr>
        <w:spacing w:before="120" w:after="120" w:line="288" w:lineRule="auto"/>
        <w:ind w:left="0"/>
        <w:jc w:val="left"/>
      </w:pPr>
    </w:p>
    <w:p>
      <w:pPr>
        <w:numPr>
          <w:numId w:val="46"/>
        </w:numPr>
        <w:spacing w:before="120" w:after="120" w:line="288" w:lineRule="auto"/>
        <w:ind w:left="0"/>
        <w:jc w:val="left"/>
      </w:pPr>
      <w:r>
        <w:rPr>
          <w:rFonts w:eastAsia="等线" w:ascii="Arial" w:cs="Arial" w:hAnsi="Arial"/>
          <w:sz w:val="22"/>
        </w:rPr>
        <w:t>原始输入中可见多类直接或准直接标识符，包括患者身份信息、就诊标识、联系方式、地址、条码、医务人员签名及精确时间；这证明产品面对的不是抽象“病例文本”，而是高敏感、可直接关联自然人的真实医疗材料。</w:t>
      </w:r>
    </w:p>
    <w:p>
      <w:pPr>
        <w:numPr>
          <w:numId w:val="47"/>
        </w:numPr>
        <w:spacing w:before="120" w:after="120" w:line="288" w:lineRule="auto"/>
        <w:ind w:left="0"/>
        <w:jc w:val="left"/>
      </w:pPr>
      <w:r>
        <w:rPr>
          <w:rFonts w:eastAsia="等线" w:ascii="Arial" w:cs="Arial" w:hAnsi="Arial"/>
          <w:sz w:val="22"/>
        </w:rPr>
        <w:t>后续结构化病例页面没有显示这些直接标识符，说明</w:t>
      </w:r>
      <w:r>
        <w:rPr>
          <w:rFonts w:eastAsia="等线" w:ascii="Arial" w:cs="Arial" w:hAnsi="Arial"/>
          <w:b w:val="true"/>
          <w:sz w:val="22"/>
        </w:rPr>
        <w:t>输出层至少出现了字段抑制或筛除现象</w:t>
      </w:r>
      <w:r>
        <w:rPr>
          <w:rFonts w:eastAsia="等线" w:ascii="Arial" w:cs="Arial" w:hAnsi="Arial"/>
          <w:sz w:val="22"/>
        </w:rPr>
        <w:t>。这是积极信号，但不等于系统“没有识别”这些信息，更不能证明上传、OCR、传输、日志、缓存、模型调用或原图存储阶段未处理和留存它们。</w:t>
      </w:r>
    </w:p>
    <w:p>
      <w:pPr>
        <w:numPr>
          <w:numId w:val="48"/>
        </w:numPr>
        <w:spacing w:before="120" w:after="120" w:line="288" w:lineRule="auto"/>
        <w:ind w:left="0"/>
        <w:jc w:val="left"/>
      </w:pPr>
      <w:r>
        <w:rPr>
          <w:rFonts w:eastAsia="等线" w:ascii="Arial" w:cs="Arial" w:hAnsi="Arial"/>
          <w:sz w:val="22"/>
        </w:rPr>
        <w:t>→ 详见 P0-1。</w:t>
      </w:r>
    </w:p>
    <w:p>
      <w:pPr>
        <w:numPr>
          <w:numId w:val="50"/>
        </w:numPr>
        <w:spacing w:before="120" w:after="120" w:line="288" w:lineRule="auto"/>
        <w:ind w:left="0"/>
        <w:jc w:val="left"/>
      </w:pPr>
      <w:r>
        <w:rPr>
          <w:rFonts w:eastAsia="等线" w:ascii="Arial" w:cs="Arial" w:hAnsi="Arial"/>
          <w:sz w:val="22"/>
        </w:rPr>
        <w:t>两张原始病历曾触发笼统“解析失败”提示。→ 详见 P1-2。</w:t>
      </w:r>
    </w:p>
    <w:p>
      <w:pPr>
        <w:spacing w:before="120" w:after="120" w:line="288" w:lineRule="auto"/>
        <w:ind w:left="453"/>
        <w:jc w:val="left"/>
      </w:pPr>
    </w:p>
    <w:p>
      <w:pPr>
        <w:pStyle w:val="3"/>
        <w:spacing w:before="300" w:after="120" w:line="288" w:lineRule="auto"/>
        <w:ind w:left="0"/>
        <w:jc w:val="left"/>
        <w:outlineLvl w:val="2"/>
      </w:pPr>
      <w:bookmarkStart w:name="heading_14" w:id="14"/>
      <w:r>
        <w:rPr>
          <w:rFonts w:eastAsia="等线" w:ascii="Arial" w:cs="Arial" w:hAnsi="Arial"/>
          <w:b w:val="true"/>
          <w:sz w:val="30"/>
        </w:rPr>
        <w:t>Step 6：OCR 后结构化病例并允许修改 — 健康度：良好</w:t>
      </w:r>
      <w:bookmarkEnd w:id="14"/>
    </w:p>
    <w:tbl>
      <w:tblPr>
        <w:tblW w:w="0" w:type="auto"/>
        <w:tblInd w:w="0" w:type="dxa"/>
        <w:tblBorders>
          <w:top w:val="none" w:space="4"/>
          <w:left w:val="none" w:space="4"/>
          <w:bottom w:val="none" w:space="4"/>
          <w:right w:val="none" w:space="4"/>
          <w:insideH w:val="none" w:space="4"/>
          <w:insideV w:val="none" w:space="4"/>
        </w:tblBorders>
        <w:tblLayout w:type="fixed"/>
      </w:tblPr>
      <w:tblGrid>
        <w:gridCol w:w="4475"/>
        <w:gridCol w:w="3804"/>
      </w:tblGrid>
      <w:tr>
        <w:tc>
          <w:tcPr>
            <w:tcW w:w="4475" w:type="dxa"/>
            <w:tcMar>
              <w:top w:type="dxa" w:w="60"/>
              <w:left w:type="dxa" w:w="120"/>
              <w:bottom w:type="dxa" w:w="30"/>
              <w:right w:type="dxa" w:w="120"/>
            </w:tcMar>
          </w:tcPr>
          <w:p>
            <w:pPr>
              <w:spacing w:before="120" w:after="120" w:line="288" w:lineRule="auto"/>
              <w:ind w:left="0"/>
              <w:jc w:val="center"/>
            </w:pPr>
            <w:r>
              <w:drawing>
                <wp:inline distT="0" distR="0" distB="0" distL="0">
                  <wp:extent cx="2686050" cy="80676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2686050" cy="8067675"/>
                          </a:xfrm>
                          <a:prstGeom prst="rect">
                            <a:avLst/>
                          </a:prstGeom>
                        </pic:spPr>
                      </pic:pic>
                    </a:graphicData>
                  </a:graphic>
                </wp:inline>
              </w:drawing>
            </w:r>
          </w:p>
        </w:tc>
        <w:tc>
          <w:tcPr>
            <w:tcW w:w="3804" w:type="dxa"/>
            <w:tcMar>
              <w:top w:type="dxa" w:w="60"/>
              <w:left w:type="dxa" w:w="120"/>
              <w:bottom w:type="dxa" w:w="30"/>
              <w:right w:type="dxa" w:w="120"/>
            </w:tcMar>
          </w:tcPr>
          <w:p>
            <w:pPr>
              <w:spacing w:before="120" w:after="120" w:line="288" w:lineRule="auto"/>
              <w:ind w:left="0"/>
              <w:jc w:val="center"/>
            </w:pPr>
            <w:r>
              <w:drawing>
                <wp:inline distT="0" distR="0" distB="0" distL="0">
                  <wp:extent cx="2257425" cy="47910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2257425" cy="4791075"/>
                          </a:xfrm>
                          <a:prstGeom prst="rect">
                            <a:avLst/>
                          </a:prstGeom>
                        </pic:spPr>
                      </pic:pic>
                    </a:graphicData>
                  </a:graphic>
                </wp:inline>
              </w:drawing>
            </w:r>
          </w:p>
        </w:tc>
      </w:tr>
    </w:tbl>
    <w:p>
      <w:pPr>
        <w:spacing w:before="120" w:after="120" w:line="288" w:lineRule="auto"/>
        <w:ind w:left="0"/>
        <w:jc w:val="left"/>
      </w:pPr>
    </w:p>
    <w:p>
      <w:pPr>
        <w:numPr>
          <w:numId w:val="51"/>
        </w:numPr>
        <w:spacing w:before="120" w:after="120" w:line="288" w:lineRule="auto"/>
        <w:ind w:left="0"/>
        <w:jc w:val="left"/>
      </w:pPr>
      <w:r>
        <w:rPr>
          <w:rFonts w:eastAsia="等线" w:ascii="Arial" w:cs="Arial" w:hAnsi="Arial"/>
          <w:sz w:val="22"/>
        </w:rPr>
        <w:t>系统把图片内容整理为基本信息、主诉、现病史、既往史、检查、当前诊断、治疗方案和待解决问题，显著改善原始图片的可读性。</w:t>
      </w:r>
    </w:p>
    <w:p>
      <w:pPr>
        <w:numPr>
          <w:numId w:val="52"/>
        </w:numPr>
        <w:spacing w:before="120" w:after="120" w:line="288" w:lineRule="auto"/>
        <w:ind w:left="0"/>
        <w:jc w:val="left"/>
      </w:pPr>
      <w:r>
        <w:rPr>
          <w:rFonts w:eastAsia="等线" w:ascii="Arial" w:cs="Arial" w:hAnsi="Arial"/>
          <w:sz w:val="22"/>
        </w:rPr>
        <w:t>“修改病例 / 开始分析”形成关键的人机确认点，这是高风险医疗场景中的正确方向。</w:t>
      </w:r>
    </w:p>
    <w:p>
      <w:pPr>
        <w:numPr>
          <w:numId w:val="53"/>
        </w:numPr>
        <w:spacing w:before="120" w:after="120" w:line="288" w:lineRule="auto"/>
        <w:ind w:left="0"/>
        <w:jc w:val="left"/>
      </w:pPr>
      <w:r>
        <w:rPr>
          <w:rFonts w:eastAsia="等线" w:ascii="Arial" w:cs="Arial" w:hAnsi="Arial"/>
          <w:sz w:val="22"/>
        </w:rPr>
        <w:t>长文本以单列连续排布，缺少时间轴、异常值突出、信息缺失提示和关键矛盾提示。→ 详见 P1-1。</w:t>
      </w:r>
    </w:p>
    <w:p>
      <w:pPr>
        <w:spacing w:before="120" w:after="120" w:line="288" w:lineRule="auto"/>
        <w:ind w:left="453"/>
        <w:jc w:val="left"/>
      </w:pPr>
    </w:p>
    <w:p>
      <w:pPr>
        <w:pStyle w:val="3"/>
        <w:spacing w:before="300" w:after="120" w:line="288" w:lineRule="auto"/>
        <w:ind w:left="0"/>
        <w:jc w:val="left"/>
        <w:outlineLvl w:val="2"/>
      </w:pPr>
      <w:bookmarkStart w:name="heading_15" w:id="15"/>
      <w:r>
        <w:rPr>
          <w:rFonts w:eastAsia="等线" w:ascii="Arial" w:cs="Arial" w:hAnsi="Arial"/>
          <w:b w:val="true"/>
          <w:sz w:val="30"/>
        </w:rPr>
        <w:t>Step 7：展示分析阶段与检索过程 — 健康度：一般</w:t>
      </w:r>
      <w:bookmarkEnd w:id="15"/>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184"/>
        <w:gridCol w:w="4095"/>
      </w:tblGrid>
      <w:tr>
        <w:tc>
          <w:tcPr>
            <w:tcW w:w="4184" w:type="dxa"/>
            <w:tcMar>
              <w:top w:type="dxa" w:w="60"/>
              <w:left w:type="dxa" w:w="120"/>
              <w:bottom w:type="dxa" w:w="30"/>
              <w:right w:type="dxa" w:w="120"/>
            </w:tcMar>
          </w:tcPr>
          <w:p>
            <w:pPr>
              <w:spacing w:before="120" w:after="120" w:line="288" w:lineRule="auto"/>
              <w:ind w:left="0"/>
              <w:jc w:val="center"/>
            </w:pPr>
            <w:r>
              <w:drawing>
                <wp:inline distT="0" distR="0" distB="0" distL="0">
                  <wp:extent cx="2495550" cy="50673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2495550" cy="5067300"/>
                          </a:xfrm>
                          <a:prstGeom prst="rect">
                            <a:avLst/>
                          </a:prstGeom>
                        </pic:spPr>
                      </pic:pic>
                    </a:graphicData>
                  </a:graphic>
                </wp:inline>
              </w:drawing>
            </w:r>
          </w:p>
        </w:tc>
        <w:tc>
          <w:tcPr>
            <w:tcW w:w="4095" w:type="dxa"/>
            <w:tcMar>
              <w:top w:type="dxa" w:w="60"/>
              <w:left w:type="dxa" w:w="120"/>
              <w:bottom w:type="dxa" w:w="30"/>
              <w:right w:type="dxa" w:w="120"/>
            </w:tcMar>
          </w:tcPr>
          <w:p>
            <w:pPr>
              <w:spacing w:before="120" w:after="120" w:line="288" w:lineRule="auto"/>
              <w:ind w:left="0"/>
              <w:jc w:val="center"/>
            </w:pPr>
            <w:r>
              <w:drawing>
                <wp:inline distT="0" distR="0" distB="0" distL="0">
                  <wp:extent cx="2447925" cy="50577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2447925" cy="5057775"/>
                          </a:xfrm>
                          <a:prstGeom prst="rect">
                            <a:avLst/>
                          </a:prstGeom>
                        </pic:spPr>
                      </pic:pic>
                    </a:graphicData>
                  </a:graphic>
                </wp:inline>
              </w:drawing>
            </w:r>
          </w:p>
        </w:tc>
      </w:tr>
    </w:tbl>
    <w:p>
      <w:pPr>
        <w:spacing w:before="120" w:after="120" w:line="288" w:lineRule="auto"/>
        <w:ind w:left="0"/>
        <w:jc w:val="left"/>
      </w:pPr>
    </w:p>
    <w:p>
      <w:pPr>
        <w:numPr>
          <w:numId w:val="55"/>
        </w:numPr>
        <w:spacing w:before="120" w:after="120" w:line="288" w:lineRule="auto"/>
        <w:ind w:left="0"/>
        <w:jc w:val="left"/>
      </w:pPr>
      <w:r>
        <w:rPr>
          <w:rFonts w:eastAsia="等线" w:ascii="Arial" w:cs="Arial" w:hAnsi="Arial"/>
          <w:sz w:val="22"/>
        </w:rPr>
        <w:t>“提取关键临床要素 → 检索相关文献 → 综合证据生成建议”的阶段可视化，让等待过程可理解，也强化循证定位。</w:t>
      </w:r>
    </w:p>
    <w:p>
      <w:pPr>
        <w:numPr>
          <w:numId w:val="56"/>
        </w:numPr>
        <w:spacing w:before="120" w:after="120" w:line="288" w:lineRule="auto"/>
        <w:ind w:left="0"/>
        <w:jc w:val="left"/>
      </w:pPr>
      <w:r>
        <w:rPr>
          <w:rFonts w:eastAsia="等线" w:ascii="Arial" w:cs="Arial" w:hAnsi="Arial"/>
          <w:sz w:val="22"/>
        </w:rPr>
        <w:t>可停止生成，给用户保留控制权。</w:t>
      </w:r>
    </w:p>
    <w:p>
      <w:pPr>
        <w:numPr>
          <w:numId w:val="57"/>
        </w:numPr>
        <w:spacing w:before="120" w:after="120" w:line="288" w:lineRule="auto"/>
        <w:ind w:left="0"/>
        <w:jc w:val="left"/>
      </w:pPr>
      <w:r>
        <w:rPr>
          <w:rFonts w:eastAsia="等线" w:ascii="Arial" w:cs="Arial" w:hAnsi="Arial"/>
          <w:sz w:val="22"/>
        </w:rPr>
        <w:t>用户实测病例解析约 30 秒、完整病例分析约 2 分钟；对复杂医学任务而言可以接受，但已足以让预计时间、后台运行和完成通知产生明显价值。</w:t>
      </w:r>
    </w:p>
    <w:p>
      <w:pPr>
        <w:numPr>
          <w:numId w:val="58"/>
        </w:numPr>
        <w:spacing w:before="120" w:after="120" w:line="288" w:lineRule="auto"/>
        <w:ind w:left="0"/>
        <w:jc w:val="left"/>
      </w:pPr>
      <w:r>
        <w:rPr>
          <w:rFonts w:eastAsia="等线" w:ascii="Arial" w:cs="Arial" w:hAnsi="Arial"/>
          <w:sz w:val="22"/>
        </w:rPr>
        <w:t>当前界面暴露大量中间问题，并重复显示“分析完成”，呈现形态接近调试日志。→ 详见 P1-5。</w:t>
      </w:r>
    </w:p>
    <w:p>
      <w:pPr>
        <w:numPr>
          <w:numId w:val="59"/>
        </w:numPr>
        <w:spacing w:before="120" w:after="120" w:line="288" w:lineRule="auto"/>
        <w:ind w:left="0"/>
        <w:jc w:val="left"/>
      </w:pPr>
      <w:r>
        <w:rPr>
          <w:rFonts w:eastAsia="等线" w:ascii="Arial" w:cs="Arial" w:hAnsi="Arial"/>
          <w:sz w:val="22"/>
        </w:rPr>
        <w:t>进度仅显示阶段，没有预计时间、已完成证据数、失败重试、后台运行或离开后通知。</w:t>
      </w:r>
    </w:p>
    <w:p>
      <w:pPr>
        <w:spacing w:before="120" w:after="120" w:line="288" w:lineRule="auto"/>
        <w:ind w:left="453"/>
        <w:jc w:val="left"/>
      </w:pPr>
    </w:p>
    <w:p>
      <w:pPr>
        <w:pStyle w:val="3"/>
        <w:spacing w:before="300" w:after="120" w:line="288" w:lineRule="auto"/>
        <w:ind w:left="0"/>
        <w:jc w:val="left"/>
        <w:outlineLvl w:val="2"/>
      </w:pPr>
      <w:bookmarkStart w:name="heading_16" w:id="16"/>
      <w:r>
        <w:rPr>
          <w:rFonts w:eastAsia="等线" w:ascii="Arial" w:cs="Arial" w:hAnsi="Arial"/>
          <w:b w:val="true"/>
          <w:sz w:val="30"/>
        </w:rPr>
        <w:t>Step 8：用“多重同行评议”包装可信度 — 健康度：需验证</w:t>
      </w:r>
      <w:bookmarkEnd w:id="16"/>
    </w:p>
    <w:p>
      <w:pPr>
        <w:spacing w:before="120" w:after="120" w:line="288" w:lineRule="auto"/>
        <w:ind w:left="0"/>
        <w:jc w:val="center"/>
      </w:pPr>
      <w:r>
        <w:drawing>
          <wp:inline distT="0" distR="0" distB="0" distL="0">
            <wp:extent cx="3743325" cy="18764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3743325" cy="1876425"/>
                    </a:xfrm>
                    <a:prstGeom prst="rect">
                      <a:avLst/>
                    </a:prstGeom>
                  </pic:spPr>
                </pic:pic>
              </a:graphicData>
            </a:graphic>
          </wp:inline>
        </w:drawing>
      </w:r>
    </w:p>
    <w:p>
      <w:pPr>
        <w:numPr>
          <w:numId w:val="60"/>
        </w:numPr>
        <w:spacing w:before="120" w:after="120" w:line="288" w:lineRule="auto"/>
        <w:ind w:left="0"/>
        <w:jc w:val="left"/>
      </w:pPr>
      <w:r>
        <w:rPr>
          <w:rFonts w:eastAsia="等线" w:ascii="Arial" w:cs="Arial" w:hAnsi="Arial"/>
          <w:sz w:val="22"/>
        </w:rPr>
        <w:t>“采用 4 重同行评议的证据，拒绝脏数据干扰”是很强的信任与营销表达。</w:t>
      </w:r>
    </w:p>
    <w:p>
      <w:pPr>
        <w:numPr>
          <w:numId w:val="61"/>
        </w:numPr>
        <w:spacing w:before="120" w:after="120" w:line="288" w:lineRule="auto"/>
        <w:ind w:left="0"/>
        <w:jc w:val="left"/>
      </w:pPr>
      <w:r>
        <w:rPr>
          <w:rFonts w:eastAsia="等线" w:ascii="Arial" w:cs="Arial" w:hAnsi="Arial"/>
          <w:sz w:val="22"/>
        </w:rPr>
        <w:t>截图无法证明“四重”的定义、执行者、冲突处理、证据纳入排除标准或失败条件。若无法展开解释，该表述容易成为不可验证的信任口号。</w:t>
      </w:r>
    </w:p>
    <w:p>
      <w:pPr>
        <w:numPr>
          <w:numId w:val="62"/>
        </w:numPr>
        <w:spacing w:before="120" w:after="120" w:line="288" w:lineRule="auto"/>
        <w:ind w:left="0"/>
        <w:jc w:val="left"/>
      </w:pPr>
      <w:r>
        <w:rPr>
          <w:rFonts w:eastAsia="等线" w:ascii="Arial" w:cs="Arial" w:hAnsi="Arial"/>
          <w:sz w:val="22"/>
        </w:rPr>
        <w:t>→ 详见 P0-2。</w:t>
      </w:r>
    </w:p>
    <w:p>
      <w:pPr>
        <w:spacing w:before="120" w:after="120" w:line="288" w:lineRule="auto"/>
        <w:ind w:left="453"/>
        <w:jc w:val="left"/>
      </w:pPr>
    </w:p>
    <w:p>
      <w:pPr>
        <w:pStyle w:val="3"/>
        <w:spacing w:before="300" w:after="120" w:line="288" w:lineRule="auto"/>
        <w:ind w:left="0"/>
        <w:jc w:val="left"/>
        <w:outlineLvl w:val="2"/>
      </w:pPr>
      <w:bookmarkStart w:name="heading_17" w:id="17"/>
      <w:bookmarkEnd w:id="17"/>
      <w:r>
        <w:rPr>
          <w:rFonts w:eastAsia="等线" w:ascii="Arial" w:cs="Arial" w:hAnsi="Arial"/>
          <w:b w:val="true"/>
          <w:sz w:val="30"/>
        </w:rPr>
        <w:t>Step 8-A：病例分析输出质量 — 健康度：一般</w:t>
      </w:r>
    </w:p>
    <w:p>
      <w:pPr>
        <w:spacing w:before="120" w:after="120" w:line="288" w:lineRule="auto"/>
        <w:ind w:left="0"/>
        <w:jc w:val="left"/>
      </w:pPr>
    </w:p>
    <w:p>
      <w:pPr>
        <w:numPr>
          <w:numId w:val="63"/>
        </w:numPr>
        <w:spacing w:before="120" w:after="120" w:line="288" w:lineRule="auto"/>
        <w:ind w:left="0"/>
        <w:jc w:val="left"/>
      </w:pPr>
      <w:r>
        <w:rPr>
          <w:rFonts w:eastAsia="等线" w:ascii="Arial" w:cs="Arial" w:hAnsi="Arial"/>
          <w:b w:val="true"/>
          <w:sz w:val="22"/>
        </w:rPr>
        <w:t>结构较完整</w:t>
      </w:r>
      <w:r>
        <w:rPr>
          <w:rFonts w:eastAsia="等线" w:ascii="Arial" w:cs="Arial" w:hAnsi="Arial"/>
          <w:sz w:val="22"/>
        </w:rPr>
        <w:t>：输出覆盖诊断与分期、手术方式、辅助靶向治疗、化疗、PORT、随访和不良反应监测，并把结论与参考文献编号关联，临床扫读路径较清楚。</w:t>
      </w:r>
    </w:p>
    <w:p>
      <w:pPr>
        <w:numPr>
          <w:numId w:val="64"/>
        </w:numPr>
        <w:spacing w:before="120" w:after="120" w:line="288" w:lineRule="auto"/>
        <w:ind w:left="0"/>
        <w:jc w:val="left"/>
      </w:pPr>
      <w:r>
        <w:rPr>
          <w:rFonts w:eastAsia="等线" w:ascii="Arial" w:cs="Arial" w:hAnsi="Arial"/>
          <w:b w:val="true"/>
          <w:sz w:val="22"/>
        </w:rPr>
        <w:t>关键缺失未被阻断</w:t>
      </w:r>
      <w:r>
        <w:rPr>
          <w:rFonts w:eastAsia="等线" w:ascii="Arial" w:cs="Arial" w:hAnsi="Arial"/>
          <w:sz w:val="22"/>
        </w:rPr>
        <w:t>：病例文本没有明确给出切缘状态/R0结论，却在后续多处按“完全切除/R0”展开治疗判断；M0依据也未展示完整的远处分期资料。更安全的产品行为应先把这些列为待确认信息，再决定是否输出确定性结论。</w:t>
      </w:r>
    </w:p>
    <w:p>
      <w:pPr>
        <w:numPr>
          <w:numId w:val="65"/>
        </w:numPr>
        <w:spacing w:before="120" w:after="120" w:line="288" w:lineRule="auto"/>
        <w:ind w:left="0"/>
        <w:jc w:val="left"/>
      </w:pPr>
      <w:r>
        <w:rPr>
          <w:rFonts w:eastAsia="等线" w:ascii="Arial" w:cs="Arial" w:hAnsi="Arial"/>
          <w:b w:val="true"/>
          <w:sz w:val="22"/>
        </w:rPr>
        <w:t>存在证据外推</w:t>
      </w:r>
      <w:r>
        <w:rPr>
          <w:rFonts w:eastAsia="等线" w:ascii="Arial" w:cs="Arial" w:hAnsi="Arial"/>
          <w:sz w:val="22"/>
        </w:rPr>
        <w:t>：输出根据回顾性数据库研究与辅助靶向治疗效果，进一步推导“该手术选择在有高效辅助治疗背景下可以接受”。这些证据分别回答手术比较和辅助治疗问题，并未直接验证二者组合能够弥补高危亚肺叶切除的局部控制风险。</w:t>
      </w:r>
    </w:p>
    <w:p>
      <w:pPr>
        <w:numPr>
          <w:numId w:val="66"/>
        </w:numPr>
        <w:spacing w:before="120" w:after="120" w:line="288" w:lineRule="auto"/>
        <w:ind w:left="0"/>
        <w:jc w:val="left"/>
      </w:pPr>
      <w:r>
        <w:rPr>
          <w:rFonts w:eastAsia="等线" w:ascii="Arial" w:cs="Arial" w:hAnsi="Arial"/>
          <w:b w:val="true"/>
          <w:sz w:val="22"/>
        </w:rPr>
        <w:t>证据等级混用</w:t>
      </w:r>
      <w:r>
        <w:rPr>
          <w:rFonts w:eastAsia="等线" w:ascii="Arial" w:cs="Arial" w:hAnsi="Arial"/>
          <w:sz w:val="22"/>
        </w:rPr>
        <w:t>：会议研究、回顾性数据库、随机试验、指南、说明书和专家共识同时进入结论，但界面主要通过编号引用，没有在具体结论旁清楚标出证据等级与局限。</w:t>
      </w:r>
    </w:p>
    <w:p>
      <w:pPr>
        <w:numPr>
          <w:numId w:val="67"/>
        </w:numPr>
        <w:spacing w:before="120" w:after="120" w:line="288" w:lineRule="auto"/>
        <w:ind w:left="0"/>
        <w:jc w:val="left"/>
      </w:pPr>
      <w:r>
        <w:rPr>
          <w:rFonts w:eastAsia="等线" w:ascii="Arial" w:cs="Arial" w:hAnsi="Arial"/>
          <w:b w:val="true"/>
          <w:sz w:val="22"/>
        </w:rPr>
        <w:t>输出中出现引用错位和 [ccitation:4] 占位符泄露；部分标题被截断，个别句子同时引用多个来源。→ 详见 P0-2。</w:t>
      </w:r>
    </w:p>
    <w:p>
      <w:pPr>
        <w:spacing w:before="120" w:after="120" w:line="288" w:lineRule="auto"/>
        <w:ind w:left="453"/>
        <w:jc w:val="left"/>
      </w:pPr>
    </w:p>
    <w:p>
      <w:pPr>
        <w:pStyle w:val="3"/>
        <w:spacing w:before="300" w:after="120" w:line="288" w:lineRule="auto"/>
        <w:ind w:left="0"/>
        <w:jc w:val="left"/>
        <w:outlineLvl w:val="2"/>
      </w:pPr>
      <w:bookmarkStart w:name="heading_18" w:id="18"/>
      <w:r>
        <w:rPr>
          <w:rFonts w:eastAsia="等线" w:ascii="Arial" w:cs="Arial" w:hAnsi="Arial"/>
          <w:b w:val="true"/>
          <w:sz w:val="30"/>
        </w:rPr>
        <w:t>Step 8-B：同一病例重复生成的一致性 — 健康度：较差</w:t>
      </w:r>
      <w:bookmarkEnd w:id="18"/>
    </w:p>
    <w:p>
      <w:pPr>
        <w:spacing w:before="120" w:after="120" w:line="288" w:lineRule="auto"/>
        <w:ind w:left="0"/>
        <w:jc w:val="left"/>
      </w:pPr>
    </w:p>
    <w:p>
      <w:pPr>
        <w:numPr>
          <w:numId w:val="69"/>
        </w:numPr>
        <w:spacing w:before="120" w:after="120" w:line="288" w:lineRule="auto"/>
        <w:ind w:left="0"/>
        <w:jc w:val="left"/>
      </w:pPr>
      <w:r>
        <w:rPr>
          <w:rFonts w:eastAsia="等线" w:ascii="Arial" w:cs="Arial" w:hAnsi="Arial"/>
          <w:b w:val="true"/>
          <w:sz w:val="22"/>
        </w:rPr>
        <w:t>同一病例重复生成时，原始病例所列 5、6、7、10、11、12、14 区淋巴结被改写为“仅报告 5 区 1 枚送检”，核心事实发生漂移。</w:t>
      </w:r>
    </w:p>
    <w:p>
      <w:pPr>
        <w:numPr>
          <w:numId w:val="70"/>
        </w:numPr>
        <w:spacing w:before="120" w:after="120" w:line="288" w:lineRule="auto"/>
        <w:ind w:left="0"/>
        <w:jc w:val="left"/>
      </w:pPr>
      <w:r>
        <w:rPr>
          <w:rFonts w:eastAsia="等线" w:ascii="Arial" w:cs="Arial" w:hAnsi="Arial"/>
          <w:b w:val="true"/>
          <w:sz w:val="22"/>
        </w:rPr>
        <w:t>前后版本结论冲突</w:t>
      </w:r>
      <w:r>
        <w:rPr>
          <w:rFonts w:eastAsia="等线" w:ascii="Arial" w:cs="Arial" w:hAnsi="Arial"/>
          <w:sz w:val="22"/>
        </w:rPr>
        <w:t>：前一次生成认为已经清扫 7 站、满足至少 6 站要求；本次却认为只有 1 站送检。产品没有显示病例事实表、冲突提示、版本差异或置信度，医生难以识别究竟是哪一次解析错误。</w:t>
      </w:r>
    </w:p>
    <w:p>
      <w:pPr>
        <w:numPr>
          <w:numId w:val="71"/>
        </w:numPr>
        <w:spacing w:before="120" w:after="120" w:line="288" w:lineRule="auto"/>
        <w:ind w:left="0"/>
        <w:jc w:val="left"/>
      </w:pPr>
      <w:r>
        <w:rPr>
          <w:rFonts w:eastAsia="等线" w:ascii="Arial" w:cs="Arial" w:hAnsi="Arial"/>
          <w:b w:val="true"/>
          <w:sz w:val="22"/>
        </w:rPr>
        <w:t>推理出现未经病例支持的扩张</w:t>
      </w:r>
      <w:r>
        <w:rPr>
          <w:rFonts w:eastAsia="等线" w:ascii="Arial" w:cs="Arial" w:hAnsi="Arial"/>
          <w:sz w:val="22"/>
        </w:rPr>
        <w:t>：本次由淋巴结取样不足进一步推到“可能存在未送检区域 N3 转移”，但没有先说明缺少哪些 N3 区域的检查，也没有把该判断降级为待补充信息。</w:t>
      </w:r>
    </w:p>
    <w:p>
      <w:pPr>
        <w:numPr>
          <w:numId w:val="72"/>
        </w:numPr>
        <w:spacing w:before="120" w:after="120" w:line="288" w:lineRule="auto"/>
        <w:ind w:left="0"/>
        <w:jc w:val="left"/>
      </w:pPr>
      <w:r>
        <w:rPr>
          <w:rFonts w:eastAsia="等线" w:ascii="Arial" w:cs="Arial" w:hAnsi="Arial"/>
          <w:b w:val="true"/>
          <w:sz w:val="22"/>
        </w:rPr>
        <w:t>治疗叙述存在决策张力</w:t>
      </w:r>
      <w:r>
        <w:rPr>
          <w:rFonts w:eastAsia="等线" w:ascii="Arial" w:cs="Arial" w:hAnsi="Arial"/>
          <w:sz w:val="22"/>
        </w:rPr>
        <w:t>：同一输出先称“阿来替尼单药 2 年已确立为标准、无需联合化疗”，随后又以“仅完成 1 周期、未完成标准 4 周期”评价当前方案，缺少清晰的首选路径、可选路径和适用条件区分。</w:t>
      </w:r>
    </w:p>
    <w:p>
      <w:pPr>
        <w:numPr>
          <w:numId w:val="73"/>
        </w:numPr>
        <w:spacing w:before="120" w:after="120" w:line="288" w:lineRule="auto"/>
        <w:ind w:left="0"/>
        <w:jc w:val="left"/>
      </w:pPr>
      <w:r>
        <w:rPr>
          <w:rFonts w:eastAsia="等线" w:ascii="Arial" w:cs="Arial" w:hAnsi="Arial"/>
          <w:b w:val="true"/>
          <w:sz w:val="22"/>
        </w:rPr>
        <w:t>可见的生成后质检失败</w:t>
      </w:r>
      <w:r>
        <w:rPr>
          <w:rFonts w:eastAsia="等线" w:ascii="Arial" w:cs="Arial" w:hAnsi="Arial"/>
          <w:sz w:val="22"/>
        </w:rPr>
        <w:t>：安全性段落直接保留“13.3% vs 8.3%？”以及“实际为……”的自我纠正痕迹；这类疑问号和编辑残留应在向用户发布前被自动拦截。</w:t>
      </w:r>
    </w:p>
    <w:p>
      <w:pPr>
        <w:numPr>
          <w:numId w:val="74"/>
        </w:numPr>
        <w:spacing w:before="120" w:after="120" w:line="288" w:lineRule="auto"/>
        <w:ind w:left="0"/>
        <w:jc w:val="left"/>
      </w:pPr>
      <w:r>
        <w:rPr>
          <w:rFonts w:eastAsia="等线" w:ascii="Arial" w:cs="Arial" w:hAnsi="Arial"/>
          <w:b w:val="true"/>
          <w:sz w:val="22"/>
        </w:rPr>
        <w:t>再次依赖未确认前提</w:t>
      </w:r>
      <w:r>
        <w:rPr>
          <w:rFonts w:eastAsia="等线" w:ascii="Arial" w:cs="Arial" w:hAnsi="Arial"/>
          <w:sz w:val="22"/>
        </w:rPr>
        <w:t>：PORT 结论继续以 R0/完全切除为前提，但病例可见信息没有明确给出切缘状态；产品仍未先追问或明确标注“基于假设”。</w:t>
      </w:r>
    </w:p>
    <w:p>
      <w:pPr>
        <w:numPr>
          <w:numId w:val="75"/>
        </w:numPr>
        <w:spacing w:before="120" w:after="120" w:line="288" w:lineRule="auto"/>
        <w:ind w:left="0"/>
        <w:jc w:val="left"/>
      </w:pPr>
      <w:r>
        <w:rPr>
          <w:rFonts w:eastAsia="等线" w:ascii="Arial" w:cs="Arial" w:hAnsi="Arial"/>
          <w:sz w:val="22"/>
        </w:rPr>
        <w:t>重复生成出现事实漂移、结论冲突和发布前质检残留。→ 详见 P0-2。</w:t>
      </w:r>
    </w:p>
    <w:p>
      <w:pPr>
        <w:spacing w:before="120" w:after="120" w:line="288" w:lineRule="auto"/>
        <w:ind w:left="453"/>
        <w:jc w:val="left"/>
      </w:pPr>
    </w:p>
    <w:p>
      <w:pPr>
        <w:pStyle w:val="3"/>
        <w:spacing w:before="300" w:after="120" w:line="288" w:lineRule="auto"/>
        <w:ind w:left="0"/>
        <w:jc w:val="left"/>
        <w:outlineLvl w:val="2"/>
      </w:pPr>
      <w:bookmarkStart w:name="heading_19" w:id="19"/>
      <w:r>
        <w:rPr>
          <w:rFonts w:eastAsia="等线" w:ascii="Arial" w:cs="Arial" w:hAnsi="Arial"/>
          <w:b w:val="true"/>
          <w:sz w:val="30"/>
        </w:rPr>
        <w:t>Step 9：查看引用原文并跳转来源 — 健康度：优秀</w:t>
      </w:r>
      <w:bookmarkEnd w:id="19"/>
    </w:p>
    <w:p>
      <w:pPr>
        <w:spacing w:before="120" w:after="120" w:line="288" w:lineRule="auto"/>
        <w:ind w:left="0"/>
        <w:jc w:val="left"/>
      </w:pPr>
    </w:p>
    <w:p>
      <w:pPr>
        <w:numPr>
          <w:numId w:val="76"/>
        </w:numPr>
        <w:spacing w:before="120" w:after="120" w:line="288" w:lineRule="auto"/>
        <w:ind w:left="0"/>
        <w:jc w:val="left"/>
      </w:pPr>
      <w:r>
        <w:rPr>
          <w:rFonts w:eastAsia="等线" w:ascii="Arial" w:cs="Arial" w:hAnsi="Arial"/>
          <w:sz w:val="22"/>
        </w:rPr>
        <w:t>引用弹层包含标题、期刊、年份、文献类型、命中原文、翻译和“查看来源”，是截图中最强的信任设计。</w:t>
      </w:r>
    </w:p>
    <w:p>
      <w:pPr>
        <w:numPr>
          <w:numId w:val="77"/>
        </w:numPr>
        <w:spacing w:before="120" w:after="120" w:line="288" w:lineRule="auto"/>
        <w:ind w:left="0"/>
        <w:jc w:val="left"/>
      </w:pPr>
      <w:r>
        <w:rPr>
          <w:rFonts w:eastAsia="等线" w:ascii="Arial" w:cs="Arial" w:hAnsi="Arial"/>
          <w:sz w:val="22"/>
        </w:rPr>
        <w:t>该设计缩短了“结论 → 原文上下文 → 外部来源”的核验路径。</w:t>
      </w:r>
    </w:p>
    <w:p>
      <w:pPr>
        <w:numPr>
          <w:numId w:val="78"/>
        </w:numPr>
        <w:spacing w:before="120" w:after="120" w:line="288" w:lineRule="auto"/>
        <w:ind w:left="0"/>
        <w:jc w:val="left"/>
      </w:pPr>
      <w:r>
        <w:rPr>
          <w:rFonts w:eastAsia="等线" w:ascii="Arial" w:cs="Arial" w:hAnsi="Arial"/>
          <w:sz w:val="22"/>
        </w:rPr>
        <w:t>用户实测确认：来源跳转准确，能够定位到支持对应结论的具体原文段落。该项可视为已验证的产品优势。</w:t>
      </w:r>
    </w:p>
    <w:p>
      <w:pPr>
        <w:numPr>
          <w:numId w:val="79"/>
        </w:numPr>
        <w:spacing w:before="120" w:after="120" w:line="288" w:lineRule="auto"/>
        <w:ind w:left="0"/>
        <w:jc w:val="left"/>
      </w:pPr>
      <w:r>
        <w:rPr>
          <w:rFonts w:eastAsia="等线" w:ascii="Arial" w:cs="Arial" w:hAnsi="Arial"/>
          <w:sz w:val="22"/>
        </w:rPr>
        <w:t>尚未独立验证翻译质量、长期链接稳定性以及所有病例与来源类型下的覆盖率。</w:t>
      </w:r>
    </w:p>
    <w:p>
      <w:pPr>
        <w:spacing w:before="120" w:after="120" w:line="288" w:lineRule="auto"/>
        <w:ind w:left="453"/>
        <w:jc w:val="left"/>
      </w:pPr>
    </w:p>
    <w:p>
      <w:pPr>
        <w:pStyle w:val="3"/>
        <w:spacing w:before="300" w:after="120" w:line="288" w:lineRule="auto"/>
        <w:ind w:left="0"/>
        <w:jc w:val="left"/>
        <w:outlineLvl w:val="2"/>
      </w:pPr>
      <w:bookmarkStart w:name="heading_20" w:id="20"/>
      <w:bookmarkEnd w:id="20"/>
      <w:r>
        <w:rPr>
          <w:rFonts w:eastAsia="等线" w:ascii="Arial" w:cs="Arial" w:hAnsi="Arial"/>
          <w:b w:val="true"/>
          <w:sz w:val="30"/>
        </w:rPr>
        <w:t>Step 10：选择会员套餐并支付 — 健康度：良好</w:t>
      </w:r>
    </w:p>
    <w:p>
      <w:pPr>
        <w:spacing w:before="120" w:after="120" w:line="288" w:lineRule="auto"/>
        <w:ind w:left="0"/>
        <w:jc w:val="left"/>
      </w:pPr>
    </w:p>
    <w:p>
      <w:pPr>
        <w:numPr>
          <w:numId w:val="80"/>
        </w:numPr>
        <w:spacing w:before="120" w:after="120" w:line="288" w:lineRule="auto"/>
        <w:ind w:left="0"/>
        <w:jc w:val="left"/>
      </w:pPr>
      <w:r>
        <w:rPr>
          <w:rFonts w:eastAsia="等线" w:ascii="Arial" w:cs="Arial" w:hAnsi="Arial"/>
          <w:sz w:val="22"/>
        </w:rPr>
        <w:t>可见套餐包括年卡 ¥798（约 ¥2.2/天）、月卡 ¥98（约 ¥3.3/天）、首次连续包年 ¥398（约 ¥1.1/天，次年续费 ¥598）和首次连续包月 ¥9（约 ¥0.3/天）；截图右侧仍有未完整显示的套餐，不能据此断言档位已经穷尽。</w:t>
      </w:r>
    </w:p>
    <w:p>
      <w:pPr>
        <w:numPr>
          <w:numId w:val="81"/>
        </w:numPr>
        <w:spacing w:before="120" w:after="120" w:line="288" w:lineRule="auto"/>
        <w:ind w:left="0"/>
        <w:jc w:val="left"/>
      </w:pPr>
      <w:r>
        <w:rPr>
          <w:rFonts w:eastAsia="等线" w:ascii="Arial" w:cs="Arial" w:hAnsi="Arial"/>
          <w:sz w:val="22"/>
        </w:rPr>
        <w:t>连续包年以约五折首年价格获客，同时赠送 1 年“用药助手会员”；这将 AI 决策、指南、药物数据库和医学工具打包为丁香园专业工具生态，而非只售卖单次模型问答。</w:t>
      </w:r>
    </w:p>
    <w:p>
      <w:pPr>
        <w:numPr>
          <w:numId w:val="82"/>
        </w:numPr>
        <w:spacing w:before="120" w:after="120" w:line="288" w:lineRule="auto"/>
        <w:ind w:left="0"/>
        <w:jc w:val="left"/>
      </w:pPr>
      <w:r>
        <w:rPr>
          <w:rFonts w:eastAsia="等线" w:ascii="Arial" w:cs="Arial" w:hAnsi="Arial"/>
          <w:sz w:val="22"/>
        </w:rPr>
        <w:t>会员每日额度为 20 次，用完次日恢复，表明产品通过配额控制推理成本，同时维持“每天可使用”的订阅心智。</w:t>
      </w:r>
    </w:p>
    <w:p>
      <w:pPr>
        <w:numPr>
          <w:numId w:val="83"/>
        </w:numPr>
        <w:spacing w:before="120" w:after="120" w:line="288" w:lineRule="auto"/>
        <w:ind w:left="0"/>
        <w:jc w:val="left"/>
      </w:pPr>
      <w:r>
        <w:rPr>
          <w:rFonts w:eastAsia="等线" w:ascii="Arial" w:cs="Arial" w:hAnsi="Arial"/>
          <w:sz w:val="22"/>
        </w:rPr>
        <w:t>微信支付默认选中；用户需勾选《会员服务协议》和《会员自动续费服务协议》。页面说明到期前 1 天自动扣费、需至少提前 24 小时关闭续订。</w:t>
      </w:r>
    </w:p>
    <w:p>
      <w:pPr>
        <w:numPr>
          <w:numId w:val="84"/>
        </w:numPr>
        <w:spacing w:before="120" w:after="120" w:line="288" w:lineRule="auto"/>
        <w:ind w:left="0"/>
        <w:jc w:val="left"/>
      </w:pPr>
      <w:r>
        <w:rPr>
          <w:rFonts w:eastAsia="等线" w:ascii="Arial" w:cs="Arial" w:hAnsi="Arial"/>
          <w:sz w:val="22"/>
        </w:rPr>
        <w:t>套餐横向滑动且相邻卡片只露出部分内容，价格、首购价和续费价不容易同屏比较；固定底部按钮始终突出当前 ¥398 方案，年度方案的视觉引导很强。</w:t>
      </w:r>
    </w:p>
    <w:p>
      <w:pPr>
        <w:numPr>
          <w:numId w:val="85"/>
        </w:numPr>
        <w:spacing w:before="120" w:after="120" w:line="288" w:lineRule="auto"/>
        <w:ind w:left="0"/>
        <w:jc w:val="left"/>
      </w:pPr>
      <w:r>
        <w:rPr>
          <w:rFonts w:eastAsia="等线" w:ascii="Arial" w:cs="Arial" w:hAnsi="Arial"/>
          <w:sz w:val="22"/>
        </w:rPr>
        <w:t>会员页使用“100% 权威证据库”“100% 真实可溯源”；该口号与 Step 8-A 的引用错位和占位符泄露形成落差。→ 详见 P0-2。</w:t>
      </w:r>
    </w:p>
    <w:p>
      <w:pPr>
        <w:spacing w:before="120" w:after="120" w:line="288" w:lineRule="auto"/>
        <w:ind w:left="453"/>
        <w:jc w:val="left"/>
      </w:pPr>
    </w:p>
    <w:p>
      <w:pPr>
        <w:pStyle w:val="2"/>
        <w:spacing w:before="320" w:after="120" w:line="288" w:lineRule="auto"/>
        <w:ind w:left="0"/>
        <w:jc w:val="left"/>
        <w:outlineLvl w:val="1"/>
      </w:pPr>
      <w:bookmarkStart w:name="heading_21" w:id="21"/>
      <w:r>
        <w:rPr>
          <w:rFonts w:eastAsia="等线" w:ascii="Arial" w:cs="Arial" w:hAnsi="Arial"/>
          <w:b w:val="true"/>
          <w:sz w:val="32"/>
        </w:rPr>
        <w:t>四、竞争优势</w:t>
      </w:r>
      <w:bookmarkEnd w:id="21"/>
    </w:p>
    <w:p>
      <w:pPr>
        <w:spacing w:before="120" w:after="120" w:line="288" w:lineRule="auto"/>
        <w:ind w:left="0"/>
        <w:jc w:val="left"/>
      </w:pPr>
    </w:p>
    <w:p>
      <w:pPr>
        <w:numPr>
          <w:numId w:val="86"/>
        </w:numPr>
        <w:spacing w:before="120" w:after="120" w:line="288" w:lineRule="auto"/>
        <w:ind w:left="0"/>
        <w:jc w:val="left"/>
      </w:pPr>
      <w:r>
        <w:rPr>
          <w:rFonts w:eastAsia="等线" w:ascii="Arial" w:cs="Arial" w:hAnsi="Arial"/>
          <w:b w:val="true"/>
          <w:sz w:val="22"/>
        </w:rPr>
        <w:t>把多个临床任务收敛到统一入口。</w:t>
      </w:r>
      <w:r>
        <w:rPr>
          <w:rFonts w:eastAsia="等线" w:ascii="Arial" w:cs="Arial" w:hAnsi="Arial"/>
          <w:sz w:val="22"/>
        </w:rPr>
        <w:t xml:space="preserve"> 用户不必先理解产品模块，只需从意图出发。</w:t>
      </w:r>
    </w:p>
    <w:p>
      <w:pPr>
        <w:numPr>
          <w:numId w:val="87"/>
        </w:numPr>
        <w:spacing w:before="120" w:after="120" w:line="288" w:lineRule="auto"/>
        <w:ind w:left="0"/>
        <w:jc w:val="left"/>
      </w:pPr>
      <w:r>
        <w:rPr>
          <w:rFonts w:eastAsia="等线" w:ascii="Arial" w:cs="Arial" w:hAnsi="Arial"/>
          <w:b w:val="true"/>
          <w:sz w:val="22"/>
        </w:rPr>
        <w:t>病例图片到结构化分析的链路完整。</w:t>
      </w:r>
      <w:r>
        <w:rPr>
          <w:rFonts w:eastAsia="等线" w:ascii="Arial" w:cs="Arial" w:hAnsi="Arial"/>
          <w:sz w:val="22"/>
        </w:rPr>
        <w:t xml:space="preserve"> 它不仅回答问题，还承担资料摄取、整理、确认和检索。</w:t>
      </w:r>
    </w:p>
    <w:p>
      <w:pPr>
        <w:numPr>
          <w:numId w:val="88"/>
        </w:numPr>
        <w:spacing w:before="120" w:after="120" w:line="288" w:lineRule="auto"/>
        <w:ind w:left="0"/>
        <w:jc w:val="left"/>
      </w:pPr>
      <w:r>
        <w:rPr>
          <w:rFonts w:eastAsia="等线" w:ascii="Arial" w:cs="Arial" w:hAnsi="Arial"/>
          <w:b w:val="true"/>
          <w:sz w:val="22"/>
        </w:rPr>
        <w:t>把检索过程可视化。</w:t>
      </w:r>
      <w:r>
        <w:rPr>
          <w:rFonts w:eastAsia="等线" w:ascii="Arial" w:cs="Arial" w:hAnsi="Arial"/>
          <w:sz w:val="22"/>
        </w:rPr>
        <w:t xml:space="preserve"> 阶段进度、来源类型、引用原文和外链共同提升可解释感。</w:t>
      </w:r>
    </w:p>
    <w:p>
      <w:pPr>
        <w:numPr>
          <w:numId w:val="89"/>
        </w:numPr>
        <w:spacing w:before="120" w:after="120" w:line="288" w:lineRule="auto"/>
        <w:ind w:left="0"/>
        <w:jc w:val="left"/>
      </w:pPr>
      <w:r>
        <w:rPr>
          <w:rFonts w:eastAsia="等线" w:ascii="Arial" w:cs="Arial" w:hAnsi="Arial"/>
          <w:b w:val="true"/>
          <w:sz w:val="22"/>
        </w:rPr>
        <w:t>内容产品补足低频病例分析。</w:t>
      </w:r>
      <w:r>
        <w:rPr>
          <w:rFonts w:eastAsia="等线" w:ascii="Arial" w:cs="Arial" w:hAnsi="Arial"/>
          <w:sz w:val="22"/>
        </w:rPr>
        <w:t xml:space="preserve"> “每日医奏”让产品不依赖用户每天都有复杂病例。</w:t>
      </w:r>
    </w:p>
    <w:p>
      <w:pPr>
        <w:numPr>
          <w:numId w:val="90"/>
        </w:numPr>
        <w:spacing w:before="120" w:after="120" w:line="288" w:lineRule="auto"/>
        <w:ind w:left="0"/>
        <w:jc w:val="left"/>
      </w:pPr>
      <w:r>
        <w:rPr>
          <w:rFonts w:eastAsia="等线" w:ascii="Arial" w:cs="Arial" w:hAnsi="Arial"/>
          <w:b w:val="true"/>
          <w:sz w:val="22"/>
        </w:rPr>
        <w:t>商业化位置成熟。</w:t>
      </w:r>
      <w:r>
        <w:rPr>
          <w:rFonts w:eastAsia="等线" w:ascii="Arial" w:cs="Arial" w:hAnsi="Arial"/>
          <w:sz w:val="22"/>
        </w:rPr>
        <w:t xml:space="preserve"> 会员入口显眼，但没有压住核心任务。</w:t>
      </w:r>
    </w:p>
    <w:p>
      <w:pPr>
        <w:spacing w:before="120" w:after="120" w:line="288" w:lineRule="auto"/>
        <w:ind w:left="453"/>
        <w:jc w:val="left"/>
      </w:pPr>
    </w:p>
    <w:p>
      <w:pPr>
        <w:pStyle w:val="2"/>
        <w:spacing w:before="320" w:after="120" w:line="288" w:lineRule="auto"/>
        <w:ind w:left="0"/>
        <w:jc w:val="left"/>
        <w:outlineLvl w:val="1"/>
      </w:pPr>
      <w:bookmarkStart w:name="heading_22" w:id="22"/>
      <w:r>
        <w:rPr>
          <w:rFonts w:eastAsia="等线" w:ascii="Arial" w:cs="Arial" w:hAnsi="Arial"/>
          <w:b w:val="true"/>
          <w:sz w:val="32"/>
        </w:rPr>
        <w:t>四-A、商业模式拆解</w:t>
      </w:r>
      <w:bookmarkEnd w:id="22"/>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收费结构</w:t>
      </w:r>
      <w:bookmarkEnd w:id="2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套餐</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价格</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折算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首次连续包月</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¥9</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约 ¥0.3/天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新人特惠；后续续费价格未完整显示，不作推断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月卡</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¥98</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约 ¥3.3/天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 12 个月购买约 ¥1176/年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年卡</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¥798</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约 ¥66.5/月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相比连续购买月卡节省约 ¥378/年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首次连续包年</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¥398</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约 ¥33.2/月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约为年卡标价的五折；次年续费 ¥598</w:t>
            </w:r>
          </w:p>
        </w:tc>
      </w:tr>
    </w:tbl>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付费价值包</w:t>
      </w:r>
      <w:bookmarkEnd w:id="24"/>
    </w:p>
    <w:p>
      <w:pPr>
        <w:spacing w:before="120" w:after="120" w:line="288" w:lineRule="auto"/>
        <w:ind w:left="0"/>
        <w:jc w:val="left"/>
      </w:pPr>
    </w:p>
    <w:p>
      <w:pPr>
        <w:numPr>
          <w:numId w:val="91"/>
        </w:numPr>
        <w:spacing w:before="120" w:after="120" w:line="288" w:lineRule="auto"/>
        <w:ind w:left="0"/>
        <w:jc w:val="left"/>
      </w:pPr>
      <w:r>
        <w:rPr>
          <w:rFonts w:eastAsia="等线" w:ascii="Arial" w:cs="Arial" w:hAnsi="Arial"/>
          <w:b w:val="true"/>
          <w:sz w:val="22"/>
        </w:rPr>
        <w:t>临床决策会员</w:t>
      </w:r>
      <w:r>
        <w:rPr>
          <w:rFonts w:eastAsia="等线" w:ascii="Arial" w:cs="Arial" w:hAnsi="Arial"/>
          <w:sz w:val="22"/>
        </w:rPr>
        <w:t>：智能问答、处方点评、病例分析、文献检索，每日 20 次。</w:t>
      </w:r>
    </w:p>
    <w:p>
      <w:pPr>
        <w:numPr>
          <w:numId w:val="92"/>
        </w:numPr>
        <w:spacing w:before="120" w:after="120" w:line="288" w:lineRule="auto"/>
        <w:ind w:left="0"/>
        <w:jc w:val="left"/>
      </w:pPr>
      <w:r>
        <w:rPr>
          <w:rFonts w:eastAsia="等线" w:ascii="Arial" w:cs="Arial" w:hAnsi="Arial"/>
          <w:b w:val="true"/>
          <w:sz w:val="22"/>
        </w:rPr>
        <w:t>赠送的用药助手会员</w:t>
      </w:r>
      <w:r>
        <w:rPr>
          <w:rFonts w:eastAsia="等线" w:ascii="Arial" w:cs="Arial" w:hAnsi="Arial"/>
          <w:sz w:val="22"/>
        </w:rPr>
        <w:t>：临床指南、800+ 医学工具、4000+ 诊疗专题、合理用药数据库，并提供订阅、翻译和 PDF 下载等权益。</w:t>
      </w:r>
    </w:p>
    <w:p>
      <w:pPr>
        <w:numPr>
          <w:numId w:val="93"/>
        </w:numPr>
        <w:spacing w:before="120" w:after="120" w:line="288" w:lineRule="auto"/>
        <w:ind w:left="0"/>
        <w:jc w:val="left"/>
      </w:pPr>
      <w:r>
        <w:rPr>
          <w:rFonts w:eastAsia="等线" w:ascii="Arial" w:cs="Arial" w:hAnsi="Arial"/>
          <w:b w:val="true"/>
          <w:sz w:val="22"/>
        </w:rPr>
        <w:t>跨端使用</w:t>
      </w:r>
      <w:r>
        <w:rPr>
          <w:rFonts w:eastAsia="等线" w:ascii="Arial" w:cs="Arial" w:hAnsi="Arial"/>
          <w:sz w:val="22"/>
        </w:rPr>
        <w:t xml:space="preserve">：会员页明确给出 </w:t>
      </w:r>
      <w:r>
        <w:rPr>
          <w:rFonts w:eastAsia="Consolas" w:ascii="Consolas" w:cs="Consolas" w:hAnsi="Consolas"/>
          <w:sz w:val="22"/>
          <w:shd w:fill="EFF0F1"/>
        </w:rPr>
        <w:t>ai.dxy.cn</w:t>
      </w:r>
      <w:r>
        <w:rPr>
          <w:rFonts w:eastAsia="等线" w:ascii="Arial" w:cs="Arial" w:hAnsi="Arial"/>
          <w:sz w:val="22"/>
        </w:rPr>
        <w:t xml:space="preserve"> 与 </w:t>
      </w:r>
      <w:r>
        <w:rPr>
          <w:rFonts w:eastAsia="Consolas" w:ascii="Consolas" w:cs="Consolas" w:hAnsi="Consolas"/>
          <w:sz w:val="22"/>
          <w:shd w:fill="EFF0F1"/>
        </w:rPr>
        <w:t>drugs.dxy.cn</w:t>
      </w:r>
      <w:r>
        <w:rPr>
          <w:rFonts w:eastAsia="等线" w:ascii="Arial" w:cs="Arial" w:hAnsi="Arial"/>
          <w:sz w:val="22"/>
        </w:rPr>
        <w:t>，说明移动端获客后可延伸到桌面工作场景。</w:t>
      </w:r>
    </w:p>
    <w:p>
      <w:pPr>
        <w:spacing w:before="120" w:after="120" w:line="288" w:lineRule="auto"/>
        <w:ind w:left="453"/>
        <w:jc w:val="left"/>
      </w:pPr>
    </w:p>
    <w:p>
      <w:pPr>
        <w:pStyle w:val="3"/>
        <w:spacing w:before="300" w:after="120" w:line="288" w:lineRule="auto"/>
        <w:ind w:left="0"/>
        <w:jc w:val="left"/>
        <w:outlineLvl w:val="2"/>
      </w:pPr>
      <w:bookmarkStart w:name="heading_25" w:id="25"/>
      <w:r>
        <w:rPr>
          <w:rFonts w:eastAsia="等线" w:ascii="Arial" w:cs="Arial" w:hAnsi="Arial"/>
          <w:b w:val="true"/>
          <w:sz w:val="30"/>
        </w:rPr>
        <w:t>商业逻辑</w:t>
      </w:r>
      <w:bookmarkEnd w:id="25"/>
    </w:p>
    <w:p>
      <w:pPr>
        <w:spacing w:before="120" w:after="120" w:line="288" w:lineRule="auto"/>
        <w:ind w:left="0"/>
        <w:jc w:val="left"/>
      </w:pPr>
    </w:p>
    <w:p>
      <w:pPr>
        <w:numPr>
          <w:numId w:val="94"/>
        </w:numPr>
        <w:spacing w:before="120" w:after="120" w:line="288" w:lineRule="auto"/>
        <w:ind w:left="0"/>
        <w:jc w:val="left"/>
      </w:pPr>
      <w:r>
        <w:rPr>
          <w:rFonts w:eastAsia="等线" w:ascii="Arial" w:cs="Arial" w:hAnsi="Arial"/>
          <w:sz w:val="22"/>
        </w:rPr>
        <w:t>用 ¥9 首月降低付费试用门槛。</w:t>
      </w:r>
    </w:p>
    <w:p>
      <w:pPr>
        <w:numPr>
          <w:numId w:val="95"/>
        </w:numPr>
        <w:spacing w:before="120" w:after="120" w:line="288" w:lineRule="auto"/>
        <w:ind w:left="0"/>
        <w:jc w:val="left"/>
      </w:pPr>
      <w:r>
        <w:rPr>
          <w:rFonts w:eastAsia="等线" w:ascii="Arial" w:cs="Arial" w:hAnsi="Arial"/>
          <w:sz w:val="22"/>
        </w:rPr>
        <w:t>用 ¥398 首年连续包年和“赠 1 年用药助手”提高年度方案转化。</w:t>
      </w:r>
    </w:p>
    <w:p>
      <w:pPr>
        <w:numPr>
          <w:numId w:val="96"/>
        </w:numPr>
        <w:spacing w:before="120" w:after="120" w:line="288" w:lineRule="auto"/>
        <w:ind w:left="0"/>
        <w:jc w:val="left"/>
      </w:pPr>
      <w:r>
        <w:rPr>
          <w:rFonts w:eastAsia="等线" w:ascii="Arial" w:cs="Arial" w:hAnsi="Arial"/>
          <w:sz w:val="22"/>
        </w:rPr>
        <w:t>用次年 ¥598 自动续费提升生命周期收入。</w:t>
      </w:r>
    </w:p>
    <w:p>
      <w:pPr>
        <w:numPr>
          <w:numId w:val="97"/>
        </w:numPr>
        <w:spacing w:before="120" w:after="120" w:line="288" w:lineRule="auto"/>
        <w:ind w:left="0"/>
        <w:jc w:val="left"/>
      </w:pPr>
      <w:r>
        <w:rPr>
          <w:rFonts w:eastAsia="等线" w:ascii="Arial" w:cs="Arial" w:hAnsi="Arial"/>
          <w:sz w:val="22"/>
        </w:rPr>
        <w:t>用每日 20 次配额约束高成本 AI 使用。</w:t>
      </w:r>
    </w:p>
    <w:p>
      <w:pPr>
        <w:numPr>
          <w:numId w:val="98"/>
        </w:numPr>
        <w:spacing w:before="120" w:after="120" w:line="288" w:lineRule="auto"/>
        <w:ind w:left="0"/>
        <w:jc w:val="left"/>
      </w:pPr>
      <w:r>
        <w:rPr>
          <w:rFonts w:eastAsia="等线" w:ascii="Arial" w:cs="Arial" w:hAnsi="Arial"/>
          <w:sz w:val="22"/>
        </w:rPr>
        <w:t>用指南、药物库和传统医学工具为 AI 结果增加品牌背书与感知价值。</w:t>
      </w:r>
    </w:p>
    <w:p>
      <w:pPr>
        <w:spacing w:before="120" w:after="120" w:line="288" w:lineRule="auto"/>
        <w:ind w:left="453"/>
        <w:jc w:val="left"/>
      </w:pPr>
    </w:p>
    <w:p>
      <w:pPr>
        <w:pStyle w:val="3"/>
        <w:spacing w:before="300" w:after="120" w:line="288" w:lineRule="auto"/>
        <w:ind w:left="0"/>
        <w:jc w:val="left"/>
        <w:outlineLvl w:val="2"/>
      </w:pPr>
      <w:bookmarkStart w:name="heading_26" w:id="26"/>
      <w:r>
        <w:rPr>
          <w:rFonts w:eastAsia="等线" w:ascii="Arial" w:cs="Arial" w:hAnsi="Arial"/>
          <w:b w:val="true"/>
          <w:sz w:val="30"/>
        </w:rPr>
        <w:t>用户实测补充</w:t>
      </w:r>
      <w:bookmarkEnd w:id="26"/>
    </w:p>
    <w:p>
      <w:pPr>
        <w:spacing w:before="120" w:after="120" w:line="288" w:lineRule="auto"/>
        <w:ind w:left="0"/>
        <w:jc w:val="left"/>
      </w:pPr>
    </w:p>
    <w:p>
      <w:pPr>
        <w:numPr>
          <w:numId w:val="99"/>
        </w:numPr>
        <w:spacing w:before="120" w:after="120" w:line="288" w:lineRule="auto"/>
        <w:ind w:left="0"/>
        <w:jc w:val="left"/>
      </w:pPr>
      <w:r>
        <w:rPr>
          <w:rFonts w:eastAsia="等线" w:ascii="Arial" w:cs="Arial" w:hAnsi="Arial"/>
          <w:sz w:val="22"/>
        </w:rPr>
        <w:t>用户反馈取消自动续费路径可正常完成，退款流程亦可正常处理；本报告尚未获得订单或退款页面证据，因此将其记录为实测口述，而非独立验证结果。</w:t>
      </w:r>
    </w:p>
    <w:p>
      <w:pPr>
        <w:numPr>
          <w:numId w:val="100"/>
        </w:numPr>
        <w:spacing w:before="120" w:after="120" w:line="288" w:lineRule="auto"/>
        <w:ind w:left="0"/>
        <w:jc w:val="left"/>
      </w:pPr>
      <w:r>
        <w:rPr>
          <w:rFonts w:eastAsia="等线" w:ascii="Arial" w:cs="Arial" w:hAnsi="Arial"/>
          <w:sz w:val="22"/>
        </w:rPr>
        <w:t>首月优惠结束后“按标准月卡价格续费”目前仍是合理推测，尚未由明确的续费金额页面或扣款记录确认，不应写成确定事实。</w:t>
      </w:r>
    </w:p>
    <w:p>
      <w:pPr>
        <w:numPr>
          <w:numId w:val="101"/>
        </w:numPr>
        <w:spacing w:before="120" w:after="120" w:line="288" w:lineRule="auto"/>
        <w:ind w:left="0"/>
        <w:jc w:val="left"/>
      </w:pPr>
      <w:r>
        <w:rPr>
          <w:rFonts w:eastAsia="等线" w:ascii="Arial" w:cs="Arial" w:hAnsi="Arial"/>
          <w:sz w:val="22"/>
        </w:rPr>
        <w:t>解析失败、停止生成和重试均不扣额度，降低了用户探索复杂任务时的成本焦虑。</w:t>
      </w:r>
    </w:p>
    <w:p>
      <w:pPr>
        <w:spacing w:before="120" w:after="120" w:line="288" w:lineRule="auto"/>
        <w:ind w:left="453"/>
        <w:jc w:val="left"/>
      </w:pPr>
    </w:p>
    <w:p>
      <w:pPr>
        <w:spacing w:before="120" w:after="120" w:line="288" w:lineRule="auto"/>
        <w:ind w:left="0"/>
        <w:jc w:val="left"/>
      </w:pPr>
    </w:p>
    <w:p>
      <w:pPr>
        <w:spacing w:before="120" w:after="120" w:line="288" w:lineRule="auto"/>
        <w:ind w:left="453"/>
        <w:jc w:val="left"/>
      </w:pPr>
    </w:p>
    <w:p>
      <w:pPr>
        <w:pStyle w:val="2"/>
        <w:spacing w:before="320" w:after="120" w:line="288" w:lineRule="auto"/>
        <w:ind w:left="0"/>
        <w:jc w:val="left"/>
        <w:outlineLvl w:val="1"/>
      </w:pPr>
      <w:bookmarkStart w:name="heading_28" w:id="28"/>
      <w:r>
        <w:rPr>
          <w:rFonts w:eastAsia="等线" w:ascii="Arial" w:cs="Arial" w:hAnsi="Arial"/>
          <w:b w:val="true"/>
          <w:sz w:val="32"/>
        </w:rPr>
        <w:t>五、主要短板与风险</w:t>
      </w:r>
      <w:bookmarkEnd w:id="28"/>
    </w:p>
    <w:p>
      <w:pPr>
        <w:pStyle w:val="3"/>
        <w:spacing w:before="300" w:after="120" w:line="288" w:lineRule="auto"/>
        <w:ind w:left="0"/>
        <w:jc w:val="left"/>
        <w:outlineLvl w:val="2"/>
      </w:pPr>
      <w:r>
        <w:rPr>
          <w:rFonts w:eastAsia="等线" w:ascii="Arial" w:cs="Arial" w:hAnsi="Arial"/>
          <w:b w:val="true"/>
          <w:sz w:val="30"/>
        </w:rPr>
        <w:t>问题索引（完整论证与证据定位）</w:t>
      </w:r>
    </w:p>
    <w:tbl>
      <w:tblPr>
        <w:tblW w:type="auto" w:w="0"/>
        <w:tblLayout w:type="autofit"/>
        <w:tblLook w:firstColumn="1" w:firstRow="1" w:lastColumn="0" w:lastRow="0" w:noHBand="0" w:noVBand="1" w:val="04A0"/>
      </w:tblPr>
      <w:tblGrid>
        <w:gridCol w:w="3008"/>
        <w:gridCol w:w="3008"/>
        <w:gridCol w:w="3008"/>
      </w:tblGrid>
      <w:tr>
        <w:tc>
          <w:tcPr>
            <w:tcW w:type="dxa" w:w="3008"/>
          </w:tcPr>
          <w:p>
            <w:r>
              <w:rPr>
                <w:b/>
              </w:rPr>
              <w:t>编号</w:t>
            </w:r>
          </w:p>
        </w:tc>
        <w:tc>
          <w:tcPr>
            <w:tcW w:type="dxa" w:w="3008"/>
          </w:tcPr>
          <w:p>
            <w:r>
              <w:rPr>
                <w:b/>
              </w:rPr>
              <w:t>问题</w:t>
            </w:r>
          </w:p>
        </w:tc>
        <w:tc>
          <w:tcPr>
            <w:tcW w:type="dxa" w:w="3008"/>
          </w:tcPr>
          <w:p>
            <w:r>
              <w:rPr>
                <w:b/>
              </w:rPr>
              <w:t>证据</w:t>
            </w:r>
          </w:p>
        </w:tc>
      </w:tr>
      <w:tr>
        <w:tc>
          <w:tcPr>
            <w:tcW w:type="dxa" w:w="3008"/>
          </w:tcPr>
          <w:p>
            <w:r>
              <w:t>P0-1</w:t>
            </w:r>
          </w:p>
        </w:tc>
        <w:tc>
          <w:tcPr>
            <w:tcW w:type="dxa" w:w="3008"/>
          </w:tcPr>
          <w:p>
            <w:r>
              <w:t>隐私与安全承诺过度</w:t>
            </w:r>
          </w:p>
        </w:tc>
        <w:tc>
          <w:tcPr>
            <w:tcW w:type="dxa" w:w="3008"/>
          </w:tcPr>
          <w:p>
            <w:r>
              <w:t>Step 5-B</w:t>
            </w:r>
          </w:p>
        </w:tc>
      </w:tr>
      <w:tr>
        <w:tc>
          <w:tcPr>
            <w:tcW w:type="dxa" w:w="3008"/>
          </w:tcPr>
          <w:p>
            <w:r>
              <w:t>P0-2</w:t>
            </w:r>
          </w:p>
        </w:tc>
        <w:tc>
          <w:tcPr>
            <w:tcW w:type="dxa" w:w="3008"/>
          </w:tcPr>
          <w:p>
            <w:r>
              <w:t>证据可信度展示偏营销</w:t>
            </w:r>
          </w:p>
        </w:tc>
        <w:tc>
          <w:tcPr>
            <w:tcW w:type="dxa" w:w="3008"/>
          </w:tcPr>
          <w:p>
            <w:r>
              <w:t>Step 8-A / 10</w:t>
            </w:r>
          </w:p>
        </w:tc>
      </w:tr>
      <w:tr>
        <w:tc>
          <w:tcPr>
            <w:tcW w:type="dxa" w:w="3008"/>
          </w:tcPr>
          <w:p>
            <w:r>
              <w:t>P1-1</w:t>
            </w:r>
          </w:p>
        </w:tc>
        <w:tc>
          <w:tcPr>
            <w:tcW w:type="dxa" w:w="3008"/>
          </w:tcPr>
          <w:p>
            <w:r>
              <w:t>病例核对效率不足</w:t>
            </w:r>
          </w:p>
        </w:tc>
        <w:tc>
          <w:tcPr>
            <w:tcW w:type="dxa" w:w="3008"/>
          </w:tcPr>
          <w:p>
            <w:r>
              <w:t>Step 6</w:t>
            </w:r>
          </w:p>
        </w:tc>
      </w:tr>
      <w:tr>
        <w:tc>
          <w:tcPr>
            <w:tcW w:type="dxa" w:w="3008"/>
          </w:tcPr>
          <w:p>
            <w:r>
              <w:t>P1-2</w:t>
            </w:r>
          </w:p>
        </w:tc>
        <w:tc>
          <w:tcPr>
            <w:tcW w:type="dxa" w:w="3008"/>
          </w:tcPr>
          <w:p>
            <w:r>
              <w:t>图片失败恢复不行动</w:t>
            </w:r>
          </w:p>
        </w:tc>
        <w:tc>
          <w:tcPr>
            <w:tcW w:type="dxa" w:w="3008"/>
          </w:tcPr>
          <w:p>
            <w:r>
              <w:t>Step 5-A</w:t>
            </w:r>
          </w:p>
        </w:tc>
      </w:tr>
      <w:tr>
        <w:tc>
          <w:tcPr>
            <w:tcW w:type="dxa" w:w="3008"/>
          </w:tcPr>
          <w:p>
            <w:r>
              <w:t>P1-3</w:t>
            </w:r>
          </w:p>
        </w:tc>
        <w:tc>
          <w:tcPr>
            <w:tcW w:type="dxa" w:w="3008"/>
          </w:tcPr>
          <w:p>
            <w:r>
              <w:t>删除范围不透明</w:t>
            </w:r>
          </w:p>
        </w:tc>
        <w:tc>
          <w:tcPr>
            <w:tcW w:type="dxa" w:w="3008"/>
          </w:tcPr>
          <w:p>
            <w:r>
              <w:t>Step 4 / 4-A / 4-D</w:t>
            </w:r>
          </w:p>
        </w:tc>
      </w:tr>
      <w:tr>
        <w:tc>
          <w:tcPr>
            <w:tcW w:type="dxa" w:w="3008"/>
          </w:tcPr>
          <w:p>
            <w:r>
              <w:t>P1-4</w:t>
            </w:r>
          </w:p>
        </w:tc>
        <w:tc>
          <w:tcPr>
            <w:tcW w:type="dxa" w:w="3008"/>
          </w:tcPr>
          <w:p>
            <w:r>
              <w:t>专业认证治理说明不足</w:t>
            </w:r>
          </w:p>
        </w:tc>
        <w:tc>
          <w:tcPr>
            <w:tcW w:type="dxa" w:w="3008"/>
          </w:tcPr>
          <w:p>
            <w:r>
              <w:t>Step 4-C</w:t>
            </w:r>
          </w:p>
        </w:tc>
      </w:tr>
      <w:tr>
        <w:tc>
          <w:tcPr>
            <w:tcW w:type="dxa" w:w="3008"/>
          </w:tcPr>
          <w:p>
            <w:r>
              <w:t>P1-5</w:t>
            </w:r>
          </w:p>
        </w:tc>
        <w:tc>
          <w:tcPr>
            <w:tcW w:type="dxa" w:w="3008"/>
          </w:tcPr>
          <w:p>
            <w:r>
              <w:t>分析过程暴露内部思考</w:t>
            </w:r>
          </w:p>
        </w:tc>
        <w:tc>
          <w:tcPr>
            <w:tcW w:type="dxa" w:w="3008"/>
          </w:tcPr>
          <w:p>
            <w:r>
              <w:t>Step 7</w:t>
            </w:r>
          </w:p>
        </w:tc>
      </w:tr>
      <w:tr>
        <w:tc>
          <w:tcPr>
            <w:tcW w:type="dxa" w:w="3008"/>
          </w:tcPr>
          <w:p>
            <w:r>
              <w:t>P2-1</w:t>
            </w:r>
          </w:p>
        </w:tc>
        <w:tc>
          <w:tcPr>
            <w:tcW w:type="dxa" w:w="3008"/>
          </w:tcPr>
          <w:p>
            <w:r>
              <w:t>移动端长内容可读性</w:t>
            </w:r>
          </w:p>
        </w:tc>
        <w:tc>
          <w:tcPr>
            <w:tcW w:type="dxa" w:w="3008"/>
          </w:tcPr>
          <w:p>
            <w:r>
              <w:t>Step 6 / 六章</w:t>
            </w:r>
          </w:p>
        </w:tc>
      </w:tr>
      <w:tr>
        <w:tc>
          <w:tcPr>
            <w:tcW w:type="dxa" w:w="3008"/>
          </w:tcPr>
          <w:p>
            <w:r>
              <w:t>P2-2</w:t>
            </w:r>
          </w:p>
        </w:tc>
        <w:tc>
          <w:tcPr>
            <w:tcW w:type="dxa" w:w="3008"/>
          </w:tcPr>
          <w:p>
            <w:r>
              <w:t>历史资产管理偏基础</w:t>
            </w:r>
          </w:p>
        </w:tc>
        <w:tc>
          <w:tcPr>
            <w:tcW w:type="dxa" w:w="3008"/>
          </w:tcPr>
          <w:p>
            <w:r>
              <w:t>Step 4</w:t>
            </w:r>
          </w:p>
        </w:tc>
      </w:tr>
    </w:tbl>
    <w:p>
      <w:pPr>
        <w:spacing w:before="120" w:after="120" w:line="288" w:lineRule="auto"/>
        <w:ind w:left="0"/>
        <w:jc w:val="left"/>
      </w:pPr>
    </w:p>
    <w:p>
      <w:pPr>
        <w:pStyle w:val="3"/>
        <w:spacing w:before="300" w:after="120" w:line="288" w:lineRule="auto"/>
        <w:ind w:left="0"/>
        <w:jc w:val="left"/>
        <w:outlineLvl w:val="2"/>
      </w:pPr>
      <w:bookmarkStart w:name="heading_29" w:id="29"/>
      <w:bookmarkEnd w:id="29"/>
      <w:r>
        <w:rPr>
          <w:rFonts w:eastAsia="等线" w:ascii="Arial" w:cs="Arial" w:hAnsi="Arial"/>
          <w:b w:val="true"/>
          <w:sz w:val="30"/>
        </w:rPr>
        <w:t>P0-1：隐私与安全承诺过度</w:t>
      </w:r>
    </w:p>
    <w:p>
      <w:pPr>
        <w:spacing w:before="120" w:after="120" w:line="288" w:lineRule="auto"/>
        <w:ind w:left="0"/>
        <w:jc w:val="left"/>
      </w:pPr>
      <w:r>
        <w:t>证据：Step 5-B</w:t>
      </w:r>
    </w:p>
    <w:p>
      <w:pPr>
        <w:spacing w:before="120" w:after="120" w:line="288" w:lineRule="auto"/>
        <w:ind w:left="0"/>
        <w:jc w:val="left"/>
      </w:pPr>
    </w:p>
    <w:p>
      <w:pPr>
        <w:numPr>
          <w:numId w:val="106"/>
        </w:numPr>
        <w:spacing w:before="120" w:after="120" w:line="288" w:lineRule="auto"/>
        <w:ind w:left="0"/>
        <w:jc w:val="left"/>
      </w:pPr>
      <w:r>
        <w:rPr>
          <w:rFonts w:eastAsia="等线" w:ascii="Arial" w:cs="Arial" w:hAnsi="Arial"/>
          <w:sz w:val="22"/>
        </w:rPr>
        <w:t>输入—输出对照显示：原始病历含多类直接标识符，而结构化输出未展示它们。这支持“输出层进行了字段抑制”的有限判断，但</w:t>
      </w:r>
      <w:r>
        <w:rPr>
          <w:rFonts w:eastAsia="等线" w:ascii="Arial" w:cs="Arial" w:hAnsi="Arial"/>
          <w:b w:val="true"/>
          <w:sz w:val="22"/>
        </w:rPr>
        <w:t>不能证明系统未识别、未传输或未留存这些信息</w:t>
      </w:r>
      <w:r>
        <w:rPr>
          <w:rFonts w:eastAsia="等线" w:ascii="Arial" w:cs="Arial" w:hAnsi="Arial"/>
          <w:sz w:val="22"/>
        </w:rPr>
        <w:t>。</w:t>
      </w:r>
    </w:p>
    <w:p>
      <w:pPr>
        <w:numPr>
          <w:numId w:val="107"/>
        </w:numPr>
        <w:spacing w:before="120" w:after="120" w:line="288" w:lineRule="auto"/>
        <w:ind w:left="0"/>
        <w:jc w:val="left"/>
      </w:pPr>
      <w:r>
        <w:rPr>
          <w:rFonts w:eastAsia="等线" w:ascii="Arial" w:cs="Arial" w:hAnsi="Arial"/>
          <w:sz w:val="22"/>
        </w:rPr>
        <w:t>“不会识别任何隐私信息”应改为可验证、分阶段的说明，例如“输出中默认隐藏识别到的敏感字段”，并明确识别、传输、模型处理、存储、访问、保留和删除规则。</w:t>
      </w:r>
    </w:p>
    <w:p>
      <w:pPr>
        <w:numPr>
          <w:numId w:val="108"/>
        </w:numPr>
        <w:spacing w:before="120" w:after="120" w:line="288" w:lineRule="auto"/>
        <w:ind w:left="0"/>
        <w:jc w:val="left"/>
      </w:pPr>
      <w:r>
        <w:rPr>
          <w:rFonts w:eastAsia="等线" w:ascii="Arial" w:cs="Arial" w:hAnsi="Arial"/>
          <w:sz w:val="22"/>
        </w:rPr>
        <w:t>更稳妥的设计应是：上传前提醒脱敏 → 自动检测并框选敏感字段 → 生成不可逆遮挡副本 → 让用户确认 → 仅提交脱敏副本 → 显示保存期限和一键删除入口。检测到姓名、证件/就诊号、电话、地址、条码/二维码、签名等字段时，应默认阻断提交，而非仅给文案承诺。</w:t>
      </w:r>
    </w:p>
    <w:p>
      <w:pPr>
        <w:spacing w:before="120" w:after="120" w:line="288" w:lineRule="auto"/>
        <w:ind w:left="453"/>
        <w:jc w:val="left"/>
      </w:pPr>
    </w:p>
    <w:p>
      <w:pPr>
        <w:pStyle w:val="3"/>
        <w:spacing w:before="300" w:after="120" w:line="288" w:lineRule="auto"/>
        <w:ind w:left="0"/>
        <w:jc w:val="left"/>
        <w:outlineLvl w:val="2"/>
      </w:pPr>
      <w:bookmarkStart w:name="heading_30" w:id="30"/>
      <w:bookmarkEnd w:id="30"/>
      <w:r>
        <w:rPr>
          <w:rFonts w:eastAsia="等线" w:ascii="Arial" w:cs="Arial" w:hAnsi="Arial"/>
          <w:b w:val="true"/>
          <w:sz w:val="30"/>
        </w:rPr>
        <w:t>P0-2：证据可信度展示偏营销</w:t>
      </w:r>
    </w:p>
    <w:p>
      <w:pPr>
        <w:spacing w:before="120" w:after="120" w:line="288" w:lineRule="auto"/>
        <w:ind w:left="0"/>
        <w:jc w:val="left"/>
      </w:pPr>
      <w:r>
        <w:t>证据：Step 8-A / Step 10</w:t>
      </w:r>
    </w:p>
    <w:p>
      <w:pPr>
        <w:spacing w:before="120" w:after="120" w:line="288" w:lineRule="auto"/>
        <w:ind w:left="0"/>
        <w:jc w:val="left"/>
      </w:pPr>
    </w:p>
    <w:p>
      <w:pPr>
        <w:numPr>
          <w:numId w:val="109"/>
        </w:numPr>
        <w:spacing w:before="120" w:after="120" w:line="288" w:lineRule="auto"/>
        <w:ind w:left="0"/>
        <w:jc w:val="left"/>
      </w:pPr>
      <w:r>
        <w:rPr>
          <w:rFonts w:eastAsia="等线" w:ascii="Arial" w:cs="Arial" w:hAnsi="Arial"/>
          <w:sz w:val="22"/>
        </w:rPr>
        <w:t>“权威期刊”“4 重同行评议”不是足够的证据质量说明。</w:t>
      </w:r>
    </w:p>
    <w:p>
      <w:pPr>
        <w:numPr>
          <w:numId w:val="110"/>
        </w:numPr>
        <w:spacing w:before="120" w:after="120" w:line="288" w:lineRule="auto"/>
        <w:ind w:left="0"/>
        <w:jc w:val="left"/>
      </w:pPr>
      <w:r>
        <w:rPr>
          <w:rFonts w:eastAsia="等线" w:ascii="Arial" w:cs="Arial" w:hAnsi="Arial"/>
          <w:sz w:val="22"/>
        </w:rPr>
        <w:t>会员页进一步使用“100% 权威证据库、100% 真实可溯源”，但实际病例结果出现引用错位和引用占位符泄露，构成直接的信任风险。</w:t>
      </w:r>
    </w:p>
    <w:p>
      <w:pPr>
        <w:numPr>
          <w:numId w:val="111"/>
        </w:numPr>
        <w:spacing w:before="120" w:after="120" w:line="288" w:lineRule="auto"/>
        <w:ind w:left="0"/>
        <w:jc w:val="left"/>
      </w:pPr>
      <w:r>
        <w:rPr>
          <w:rFonts w:eastAsia="等线" w:ascii="Arial" w:cs="Arial" w:hAnsi="Arial"/>
          <w:sz w:val="22"/>
        </w:rPr>
        <w:t>应显示证据类型、研究设计、发布日期、适用人群、关键局限、具体定位，以及结论与证据的一对一映射。</w:t>
      </w:r>
    </w:p>
    <w:p>
      <w:pPr>
        <w:spacing w:before="120" w:after="120" w:line="288" w:lineRule="auto"/>
        <w:ind w:left="453"/>
        <w:jc w:val="left"/>
      </w:pPr>
    </w:p>
    <w:p>
      <w:pPr>
        <w:pStyle w:val="3"/>
        <w:spacing w:before="300" w:after="120" w:line="288" w:lineRule="auto"/>
        <w:ind w:left="0"/>
        <w:jc w:val="left"/>
        <w:outlineLvl w:val="2"/>
      </w:pPr>
      <w:bookmarkStart w:name="heading_31" w:id="31"/>
      <w:bookmarkEnd w:id="31"/>
      <w:r>
        <w:rPr>
          <w:rFonts w:eastAsia="等线" w:ascii="Arial" w:cs="Arial" w:hAnsi="Arial"/>
          <w:b w:val="true"/>
          <w:sz w:val="30"/>
        </w:rPr>
        <w:t>P1-1：病例核对效率不足</w:t>
      </w:r>
    </w:p>
    <w:p>
      <w:pPr>
        <w:spacing w:before="120" w:after="120" w:line="288" w:lineRule="auto"/>
        <w:ind w:left="0"/>
        <w:jc w:val="left"/>
      </w:pPr>
      <w:r>
        <w:t>证据：Step 6</w:t>
      </w:r>
    </w:p>
    <w:p>
      <w:pPr>
        <w:spacing w:before="120" w:after="120" w:line="288" w:lineRule="auto"/>
        <w:ind w:left="0"/>
        <w:jc w:val="left"/>
      </w:pPr>
    </w:p>
    <w:p>
      <w:pPr>
        <w:numPr>
          <w:numId w:val="112"/>
        </w:numPr>
        <w:spacing w:before="120" w:after="120" w:line="288" w:lineRule="auto"/>
        <w:ind w:left="0"/>
        <w:jc w:val="left"/>
      </w:pPr>
      <w:r>
        <w:rPr>
          <w:rFonts w:eastAsia="等线" w:ascii="Arial" w:cs="Arial" w:hAnsi="Arial"/>
          <w:sz w:val="22"/>
        </w:rPr>
        <w:t>长文本不利于识别 OCR 错误、时间矛盾、剂量异常和关键信息缺失。</w:t>
      </w:r>
    </w:p>
    <w:p>
      <w:pPr>
        <w:numPr>
          <w:numId w:val="113"/>
        </w:numPr>
        <w:spacing w:before="120" w:after="120" w:line="288" w:lineRule="auto"/>
        <w:ind w:left="0"/>
        <w:jc w:val="left"/>
      </w:pPr>
      <w:r>
        <w:rPr>
          <w:rFonts w:eastAsia="等线" w:ascii="Arial" w:cs="Arial" w:hAnsi="Arial"/>
          <w:sz w:val="22"/>
        </w:rPr>
        <w:t>适合改造成时间轴 + 结构化字段 + 异常高亮 + 原图对照，而不是单列病历全文。</w:t>
      </w:r>
    </w:p>
    <w:p>
      <w:pPr>
        <w:spacing w:before="120" w:after="120" w:line="288" w:lineRule="auto"/>
        <w:ind w:left="453"/>
        <w:jc w:val="left"/>
      </w:pPr>
    </w:p>
    <w:p>
      <w:pPr>
        <w:pStyle w:val="3"/>
        <w:spacing w:before="300" w:after="120" w:line="288" w:lineRule="auto"/>
        <w:ind w:left="0"/>
        <w:jc w:val="left"/>
        <w:outlineLvl w:val="2"/>
      </w:pPr>
      <w:bookmarkStart w:name="heading_32" w:id="32"/>
      <w:bookmarkEnd w:id="32"/>
      <w:r>
        <w:rPr>
          <w:rFonts w:eastAsia="等线" w:ascii="Arial" w:cs="Arial" w:hAnsi="Arial"/>
          <w:b w:val="true"/>
          <w:sz w:val="30"/>
        </w:rPr>
        <w:t>P1-2：图片失败恢复不行动</w:t>
      </w:r>
    </w:p>
    <w:p>
      <w:pPr>
        <w:spacing w:before="120" w:after="120" w:line="288" w:lineRule="auto"/>
        <w:ind w:left="0"/>
        <w:jc w:val="left"/>
      </w:pPr>
      <w:r>
        <w:t>证据：Step 5-A</w:t>
      </w:r>
    </w:p>
    <w:p>
      <w:pPr>
        <w:spacing w:before="120" w:after="120" w:line="288" w:lineRule="auto"/>
        <w:ind w:left="0"/>
        <w:jc w:val="left"/>
      </w:pPr>
    </w:p>
    <w:p>
      <w:pPr>
        <w:numPr>
          <w:numId w:val="114"/>
        </w:numPr>
        <w:spacing w:before="120" w:after="120" w:line="288" w:lineRule="auto"/>
        <w:ind w:left="0"/>
        <w:jc w:val="left"/>
      </w:pPr>
      <w:r>
        <w:rPr>
          <w:rFonts w:eastAsia="等线" w:ascii="Arial" w:cs="Arial" w:hAnsi="Arial"/>
          <w:sz w:val="22"/>
        </w:rPr>
        <w:t>已提供“重新上传”，但没有告诉用户图片具体哪里不合格，也没有在提交前拦截明显的清晰度、裁切或格式问题。</w:t>
      </w:r>
    </w:p>
    <w:p>
      <w:pPr>
        <w:numPr>
          <w:numId w:val="115"/>
        </w:numPr>
        <w:spacing w:before="120" w:after="120" w:line="288" w:lineRule="auto"/>
        <w:ind w:left="0"/>
        <w:jc w:val="left"/>
      </w:pPr>
      <w:r>
        <w:rPr>
          <w:rFonts w:eastAsia="等线" w:ascii="Arial" w:cs="Arial" w:hAnsi="Arial"/>
          <w:sz w:val="22"/>
        </w:rPr>
        <w:t>应返回可行动原因，例如“文字区域过小”“存在强反光”“未检测到病历正文”，并提供裁切、旋转、拍摄示例和“不扣额度重试”说明。</w:t>
      </w:r>
    </w:p>
    <w:p>
      <w:pPr>
        <w:spacing w:before="120" w:after="120" w:line="288" w:lineRule="auto"/>
        <w:ind w:left="453"/>
        <w:jc w:val="left"/>
      </w:pPr>
    </w:p>
    <w:p>
      <w:pPr>
        <w:pStyle w:val="3"/>
        <w:spacing w:before="300" w:after="120" w:line="288" w:lineRule="auto"/>
        <w:ind w:left="0"/>
        <w:jc w:val="left"/>
        <w:outlineLvl w:val="2"/>
      </w:pPr>
      <w:bookmarkStart w:name="heading_33" w:id="33"/>
      <w:bookmarkEnd w:id="33"/>
      <w:r>
        <w:rPr>
          <w:rFonts w:eastAsia="等线" w:ascii="Arial" w:cs="Arial" w:hAnsi="Arial"/>
          <w:b w:val="true"/>
          <w:sz w:val="30"/>
        </w:rPr>
        <w:t>P1-3：删除范围不透明</w:t>
      </w:r>
    </w:p>
    <w:p>
      <w:pPr>
        <w:spacing w:before="120" w:after="120" w:line="288" w:lineRule="auto"/>
        <w:ind w:left="0"/>
        <w:jc w:val="left"/>
      </w:pPr>
      <w:r>
        <w:t>证据：Step 4 / Step 4-A / Step 4-D</w:t>
      </w:r>
    </w:p>
    <w:p>
      <w:pPr>
        <w:spacing w:before="120" w:after="120" w:line="288" w:lineRule="auto"/>
        <w:ind w:left="0"/>
        <w:jc w:val="left"/>
      </w:pPr>
    </w:p>
    <w:p>
      <w:pPr>
        <w:numPr>
          <w:numId w:val="116"/>
        </w:numPr>
        <w:spacing w:before="120" w:after="120" w:line="288" w:lineRule="auto"/>
        <w:ind w:left="0"/>
        <w:jc w:val="left"/>
      </w:pPr>
      <w:r>
        <w:rPr>
          <w:rFonts w:eastAsia="等线" w:ascii="Arial" w:cs="Arial" w:hAnsi="Arial"/>
          <w:sz w:val="22"/>
        </w:rPr>
        <w:t>竞品已经提供账号注销、个人信息下载、个人信息收集清单、第三方共享说明以及单条会话删除，这部分能力比上一轮证据显示得更完整。</w:t>
      </w:r>
    </w:p>
    <w:p>
      <w:pPr>
        <w:numPr>
          <w:numId w:val="117"/>
        </w:numPr>
        <w:spacing w:before="120" w:after="120" w:line="288" w:lineRule="auto"/>
        <w:ind w:left="0"/>
        <w:jc w:val="left"/>
      </w:pPr>
      <w:r>
        <w:rPr>
          <w:rFonts w:eastAsia="等线" w:ascii="Arial" w:cs="Arial" w:hAnsi="Arial"/>
          <w:sz w:val="22"/>
        </w:rPr>
        <w:t>仍需明确下载数据的覆盖范围，以及会话删除和账号注销是否连带删除上传原图、OCR文本、模型输入输出、缓存、日志和第三方处理副本；同时披露法定留存例外与完成时限。</w:t>
      </w:r>
    </w:p>
    <w:p>
      <w:pPr>
        <w:spacing w:before="120" w:after="120" w:line="288" w:lineRule="auto"/>
        <w:ind w:left="453"/>
        <w:jc w:val="left"/>
      </w:pPr>
    </w:p>
    <w:p>
      <w:pPr>
        <w:pStyle w:val="3"/>
        <w:spacing w:before="300" w:after="120" w:line="288" w:lineRule="auto"/>
        <w:ind w:left="0"/>
        <w:jc w:val="left"/>
        <w:outlineLvl w:val="2"/>
      </w:pPr>
      <w:bookmarkStart w:name="heading_34" w:id="34"/>
      <w:bookmarkEnd w:id="34"/>
      <w:r>
        <w:rPr>
          <w:rFonts w:eastAsia="等线" w:ascii="Arial" w:cs="Arial" w:hAnsi="Arial"/>
          <w:b w:val="true"/>
          <w:sz w:val="30"/>
        </w:rPr>
        <w:t>P1-4：专业认证治理说明不足</w:t>
      </w:r>
    </w:p>
    <w:p>
      <w:pPr>
        <w:spacing w:before="120" w:after="120" w:line="288" w:lineRule="auto"/>
        <w:ind w:left="0"/>
        <w:jc w:val="left"/>
      </w:pPr>
      <w:r>
        <w:t>证据：Step 4-C</w:t>
      </w:r>
    </w:p>
    <w:p>
      <w:pPr>
        <w:spacing w:before="120" w:after="120" w:line="288" w:lineRule="auto"/>
        <w:ind w:left="0"/>
        <w:jc w:val="left"/>
      </w:pPr>
    </w:p>
    <w:p>
      <w:pPr>
        <w:numPr>
          <w:numId w:val="118"/>
        </w:numPr>
        <w:spacing w:before="120" w:after="120" w:line="288" w:lineRule="auto"/>
        <w:ind w:left="0"/>
        <w:jc w:val="left"/>
      </w:pPr>
      <w:r>
        <w:rPr>
          <w:rFonts w:eastAsia="等线" w:ascii="Arial" w:cs="Arial" w:hAnsi="Arial"/>
          <w:sz w:val="22"/>
        </w:rPr>
        <w:t>执业医师认证需要提交身份与职业信息，但目前可见界面主要依赖“仅用于认证”的概括承诺。</w:t>
      </w:r>
    </w:p>
    <w:p>
      <w:pPr>
        <w:numPr>
          <w:numId w:val="119"/>
        </w:numPr>
        <w:spacing w:before="120" w:after="120" w:line="288" w:lineRule="auto"/>
        <w:ind w:left="0"/>
        <w:jc w:val="left"/>
      </w:pPr>
      <w:r>
        <w:rPr>
          <w:rFonts w:eastAsia="等线" w:ascii="Arial" w:cs="Arial" w:hAnsi="Arial"/>
          <w:sz w:val="22"/>
        </w:rPr>
        <w:t>应在提交前展示字段用途、必要性、审核方、数据来源、保存期限、访问范围、撤回/更正路径和认证失败后的删除规则，并对不必要字段执行最小化采集。</w:t>
      </w:r>
    </w:p>
    <w:p>
      <w:pPr>
        <w:spacing w:before="120" w:after="120" w:line="288" w:lineRule="auto"/>
        <w:ind w:left="453"/>
        <w:jc w:val="left"/>
      </w:pPr>
    </w:p>
    <w:p>
      <w:pPr>
        <w:pStyle w:val="3"/>
        <w:spacing w:before="300" w:after="120" w:line="288" w:lineRule="auto"/>
        <w:ind w:left="0"/>
        <w:jc w:val="left"/>
        <w:outlineLvl w:val="2"/>
      </w:pPr>
      <w:bookmarkStart w:name="heading_35" w:id="35"/>
      <w:bookmarkEnd w:id="35"/>
      <w:r>
        <w:rPr>
          <w:rFonts w:eastAsia="等线" w:ascii="Arial" w:cs="Arial" w:hAnsi="Arial"/>
          <w:b w:val="true"/>
          <w:sz w:val="30"/>
        </w:rPr>
        <w:t>P1-5：分析过程暴露内部思考</w:t>
      </w:r>
    </w:p>
    <w:p>
      <w:pPr>
        <w:spacing w:before="120" w:after="120" w:line="288" w:lineRule="auto"/>
        <w:ind w:left="0"/>
        <w:jc w:val="left"/>
      </w:pPr>
      <w:r>
        <w:t>证据：Step 7</w:t>
      </w:r>
    </w:p>
    <w:p>
      <w:pPr>
        <w:spacing w:before="120" w:after="120" w:line="288" w:lineRule="auto"/>
        <w:ind w:left="0"/>
        <w:jc w:val="left"/>
      </w:pPr>
    </w:p>
    <w:p>
      <w:pPr>
        <w:numPr>
          <w:numId w:val="120"/>
        </w:numPr>
        <w:spacing w:before="120" w:after="120" w:line="288" w:lineRule="auto"/>
        <w:ind w:left="0"/>
        <w:jc w:val="left"/>
      </w:pPr>
      <w:r>
        <w:rPr>
          <w:rFonts w:eastAsia="等线" w:ascii="Arial" w:cs="Arial" w:hAnsi="Arial"/>
          <w:sz w:val="22"/>
        </w:rPr>
        <w:t>大量“分析完成：……”问题增加阅读负担，也可能让用户误把系统提出的问题当作已经验证的临床结论。</w:t>
      </w:r>
    </w:p>
    <w:p>
      <w:pPr>
        <w:numPr>
          <w:numId w:val="121"/>
        </w:numPr>
        <w:spacing w:before="120" w:after="120" w:line="288" w:lineRule="auto"/>
        <w:ind w:left="0"/>
        <w:jc w:val="left"/>
      </w:pPr>
      <w:r>
        <w:rPr>
          <w:rFonts w:eastAsia="等线" w:ascii="Arial" w:cs="Arial" w:hAnsi="Arial"/>
          <w:sz w:val="22"/>
        </w:rPr>
        <w:t>更合适的状态是：已识别的核心问题、正在检索的证据类别、证据是否充足、预计剩余时间。</w:t>
      </w:r>
    </w:p>
    <w:p>
      <w:pPr>
        <w:spacing w:before="120" w:after="120" w:line="288" w:lineRule="auto"/>
        <w:ind w:left="453"/>
        <w:jc w:val="left"/>
      </w:pPr>
    </w:p>
    <w:p>
      <w:pPr>
        <w:pStyle w:val="3"/>
        <w:spacing w:before="300" w:after="120" w:line="288" w:lineRule="auto"/>
        <w:ind w:left="0"/>
        <w:jc w:val="left"/>
        <w:outlineLvl w:val="2"/>
      </w:pPr>
      <w:bookmarkStart w:name="heading_36" w:id="36"/>
      <w:bookmarkEnd w:id="36"/>
      <w:r>
        <w:rPr>
          <w:rFonts w:eastAsia="等线" w:ascii="Arial" w:cs="Arial" w:hAnsi="Arial"/>
          <w:b w:val="true"/>
          <w:sz w:val="30"/>
        </w:rPr>
        <w:t>P2-1：移动端长内容可读性</w:t>
      </w:r>
    </w:p>
    <w:p>
      <w:pPr>
        <w:spacing w:before="120" w:after="120" w:line="288" w:lineRule="auto"/>
        <w:ind w:left="0"/>
        <w:jc w:val="left"/>
      </w:pPr>
      <w:r>
        <w:t>证据：Step 6 / 六章</w:t>
      </w:r>
    </w:p>
    <w:p>
      <w:pPr>
        <w:spacing w:before="120" w:after="120" w:line="288" w:lineRule="auto"/>
        <w:ind w:left="0"/>
        <w:jc w:val="left"/>
      </w:pPr>
    </w:p>
    <w:p>
      <w:pPr>
        <w:numPr>
          <w:numId w:val="122"/>
        </w:numPr>
        <w:spacing w:before="120" w:after="120" w:line="288" w:lineRule="auto"/>
        <w:ind w:left="0"/>
        <w:jc w:val="left"/>
      </w:pPr>
      <w:r>
        <w:rPr>
          <w:rFonts w:eastAsia="等线" w:ascii="Arial" w:cs="Arial" w:hAnsi="Arial"/>
          <w:sz w:val="22"/>
        </w:rPr>
        <w:t>长段落、灰色小字、浅边框和低对比标签较多。</w:t>
      </w:r>
    </w:p>
    <w:p>
      <w:pPr>
        <w:numPr>
          <w:numId w:val="123"/>
        </w:numPr>
        <w:spacing w:before="120" w:after="120" w:line="288" w:lineRule="auto"/>
        <w:ind w:left="0"/>
        <w:jc w:val="left"/>
      </w:pPr>
      <w:r>
        <w:rPr>
          <w:rFonts w:eastAsia="等线" w:ascii="Arial" w:cs="Arial" w:hAnsi="Arial"/>
          <w:sz w:val="22"/>
        </w:rPr>
        <w:t>应支持结论摘要、分层折叠、目录锚点、关键数字高亮和证据卡片。</w:t>
      </w:r>
    </w:p>
    <w:p>
      <w:pPr>
        <w:spacing w:before="120" w:after="120" w:line="288" w:lineRule="auto"/>
        <w:ind w:left="453"/>
        <w:jc w:val="left"/>
      </w:pPr>
    </w:p>
    <w:p>
      <w:pPr>
        <w:pStyle w:val="3"/>
        <w:spacing w:before="300" w:after="120" w:line="288" w:lineRule="auto"/>
        <w:ind w:left="0"/>
        <w:jc w:val="left"/>
        <w:outlineLvl w:val="2"/>
      </w:pPr>
      <w:bookmarkStart w:name="heading_37" w:id="37"/>
      <w:bookmarkEnd w:id="37"/>
      <w:r>
        <w:rPr>
          <w:rFonts w:eastAsia="等线" w:ascii="Arial" w:cs="Arial" w:hAnsi="Arial"/>
          <w:b w:val="true"/>
          <w:sz w:val="30"/>
        </w:rPr>
        <w:t>P2-2：历史资产管理偏基础</w:t>
      </w:r>
    </w:p>
    <w:p>
      <w:pPr>
        <w:spacing w:before="120" w:after="120" w:line="288" w:lineRule="auto"/>
        <w:ind w:left="0"/>
        <w:jc w:val="left"/>
      </w:pPr>
      <w:r>
        <w:t>证据：Step 4</w:t>
      </w:r>
    </w:p>
    <w:p>
      <w:pPr>
        <w:spacing w:before="120" w:after="120" w:line="288" w:lineRule="auto"/>
        <w:ind w:left="0"/>
        <w:jc w:val="left"/>
      </w:pPr>
    </w:p>
    <w:p>
      <w:pPr>
        <w:numPr>
          <w:numId w:val="124"/>
        </w:numPr>
        <w:spacing w:before="120" w:after="120" w:line="288" w:lineRule="auto"/>
        <w:ind w:left="0"/>
        <w:jc w:val="left"/>
      </w:pPr>
      <w:r>
        <w:rPr>
          <w:rFonts w:eastAsia="等线" w:ascii="Arial" w:cs="Arial" w:hAnsi="Arial"/>
          <w:sz w:val="22"/>
        </w:rPr>
        <w:t>病例、处方与文献混在同一历史列表中，已支持单条重命名和删除，但仍缺少搜索、筛选、专科、患者脱敏编号、收藏、归档、批量操作和导出等可见能力。</w:t>
      </w:r>
    </w:p>
    <w:p>
      <w:pPr>
        <w:spacing w:before="120" w:after="120" w:line="288" w:lineRule="auto"/>
        <w:ind w:left="453"/>
        <w:jc w:val="left"/>
      </w:pPr>
    </w:p>
    <w:p>
      <w:pPr>
        <w:pStyle w:val="2"/>
        <w:spacing w:before="320" w:after="120" w:line="288" w:lineRule="auto"/>
        <w:ind w:left="0"/>
        <w:jc w:val="left"/>
        <w:outlineLvl w:val="1"/>
      </w:pPr>
      <w:bookmarkStart w:name="heading_38" w:id="38"/>
      <w:r>
        <w:rPr>
          <w:rFonts w:eastAsia="等线" w:ascii="Arial" w:cs="Arial" w:hAnsi="Arial"/>
          <w:b w:val="true"/>
          <w:sz w:val="32"/>
        </w:rPr>
        <w:t>六、无障碍与可用性风险</w:t>
      </w:r>
      <w:bookmarkEnd w:id="38"/>
    </w:p>
    <w:p>
      <w:pPr>
        <w:spacing w:before="120" w:after="120" w:line="288" w:lineRule="auto"/>
        <w:ind w:left="0"/>
        <w:jc w:val="left"/>
      </w:pPr>
    </w:p>
    <w:p>
      <w:pPr>
        <w:numPr>
          <w:numId w:val="125"/>
        </w:numPr>
        <w:spacing w:before="120" w:after="120" w:line="288" w:lineRule="auto"/>
        <w:ind w:left="0"/>
        <w:jc w:val="left"/>
      </w:pPr>
      <w:r>
        <w:rPr>
          <w:rFonts w:eastAsia="等线" w:ascii="Arial" w:cs="Arial" w:hAnsi="Arial"/>
          <w:sz w:val="22"/>
        </w:rPr>
        <w:t>多处浅灰文字与白色背景、浅紫标签与浅色底，存在对比度不足风险；需用真实色值验证 WCAG 对比度。</w:t>
      </w:r>
    </w:p>
    <w:p>
      <w:pPr>
        <w:numPr>
          <w:numId w:val="126"/>
        </w:numPr>
        <w:spacing w:before="120" w:after="120" w:line="288" w:lineRule="auto"/>
        <w:ind w:left="0"/>
        <w:jc w:val="left"/>
      </w:pPr>
      <w:r>
        <w:rPr>
          <w:rFonts w:eastAsia="等线" w:ascii="Arial" w:cs="Arial" w:hAnsi="Arial"/>
          <w:sz w:val="22"/>
        </w:rPr>
        <w:t>小号标签、细线边框和右侧细箭头在强光、低视力或长时间阅读场景下辨识度有限。</w:t>
      </w:r>
    </w:p>
    <w:p>
      <w:pPr>
        <w:numPr>
          <w:numId w:val="127"/>
        </w:numPr>
        <w:spacing w:before="120" w:after="120" w:line="288" w:lineRule="auto"/>
        <w:ind w:left="0"/>
        <w:jc w:val="left"/>
      </w:pPr>
      <w:r>
        <w:rPr>
          <w:rFonts w:eastAsia="等线" w:ascii="Arial" w:cs="Arial" w:hAnsi="Arial"/>
          <w:sz w:val="22"/>
        </w:rPr>
        <w:t>主要按钮尺寸看起来充足，但关闭图标、删除图片的圆形“×”和列表箭头的触控热区需要实测。</w:t>
      </w:r>
    </w:p>
    <w:p>
      <w:pPr>
        <w:numPr>
          <w:numId w:val="128"/>
        </w:numPr>
        <w:spacing w:before="120" w:after="120" w:line="288" w:lineRule="auto"/>
        <w:ind w:left="0"/>
        <w:jc w:val="left"/>
      </w:pPr>
      <w:r>
        <w:rPr>
          <w:rFonts w:eastAsia="等线" w:ascii="Arial" w:cs="Arial" w:hAnsi="Arial"/>
          <w:sz w:val="22"/>
        </w:rPr>
        <w:t>提供“字体设置”是积极信号；仍需验证是否支持系统动态字号、长文本重排，以及放大后是否出现截断或按钮遮挡。</w:t>
      </w:r>
    </w:p>
    <w:p>
      <w:pPr>
        <w:numPr>
          <w:numId w:val="129"/>
        </w:numPr>
        <w:spacing w:before="120" w:after="120" w:line="288" w:lineRule="auto"/>
        <w:ind w:left="0"/>
        <w:jc w:val="left"/>
      </w:pPr>
      <w:r>
        <w:rPr>
          <w:rFonts w:eastAsia="等线" w:ascii="Arial" w:cs="Arial" w:hAnsi="Arial"/>
          <w:sz w:val="22"/>
        </w:rPr>
        <w:t>截图无法验证读屏标签、焦点顺序、键盘/外接设备、动态进度播报、字体放大和横屏重排。</w:t>
      </w:r>
    </w:p>
    <w:p>
      <w:pPr>
        <w:numPr>
          <w:numId w:val="130"/>
        </w:numPr>
        <w:spacing w:before="120" w:after="120" w:line="288" w:lineRule="auto"/>
        <w:ind w:left="0"/>
        <w:jc w:val="left"/>
      </w:pPr>
      <w:r>
        <w:rPr>
          <w:rFonts w:eastAsia="等线" w:ascii="Arial" w:cs="Arial" w:hAnsi="Arial"/>
          <w:sz w:val="22"/>
        </w:rPr>
        <w:t>分析状态主要依赖颜色圆点表示，建议同时提供文字状态和无颜色依赖的图形变化。</w:t>
      </w:r>
    </w:p>
    <w:p>
      <w:pPr>
        <w:spacing w:before="120" w:after="120" w:line="288" w:lineRule="auto"/>
        <w:ind w:left="453"/>
        <w:jc w:val="left"/>
      </w:pPr>
    </w:p>
    <w:p>
      <w:pPr>
        <w:pStyle w:val="2"/>
        <w:spacing w:before="320" w:after="120" w:line="288" w:lineRule="auto"/>
        <w:ind w:left="0"/>
        <w:jc w:val="left"/>
        <w:outlineLvl w:val="1"/>
      </w:pPr>
      <w:bookmarkStart w:name="heading_39" w:id="39"/>
      <w:r>
        <w:rPr>
          <w:rFonts w:eastAsia="等线" w:ascii="Arial" w:cs="Arial" w:hAnsi="Arial"/>
          <w:b w:val="true"/>
          <w:sz w:val="32"/>
        </w:rPr>
        <w:t>七、对“大查房 / OncoRounds”的启示</w:t>
      </w:r>
      <w:bookmarkEnd w:id="39"/>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b w:val="true"/>
          <w:sz w:val="30"/>
        </w:rPr>
        <w:t>不要照搬的部分</w:t>
      </w:r>
      <w:bookmarkEnd w:id="40"/>
    </w:p>
    <w:p>
      <w:pPr>
        <w:spacing w:before="120" w:after="120" w:line="288" w:lineRule="auto"/>
        <w:ind w:left="0"/>
        <w:jc w:val="left"/>
      </w:pPr>
    </w:p>
    <w:p>
      <w:pPr>
        <w:numPr>
          <w:numId w:val="131"/>
        </w:numPr>
        <w:spacing w:before="120" w:after="120" w:line="288" w:lineRule="auto"/>
        <w:ind w:left="0"/>
        <w:jc w:val="left"/>
      </w:pPr>
      <w:r>
        <w:rPr>
          <w:rFonts w:eastAsia="等线" w:ascii="Arial" w:cs="Arial" w:hAnsi="Arial"/>
          <w:sz w:val="22"/>
        </w:rPr>
        <w:t>不要做“病例、处方、指南什么都能问”的通用首页，容易稀释肿瘤教学定位。</w:t>
      </w:r>
    </w:p>
    <w:p>
      <w:pPr>
        <w:numPr>
          <w:numId w:val="132"/>
        </w:numPr>
        <w:spacing w:before="120" w:after="120" w:line="288" w:lineRule="auto"/>
        <w:ind w:left="0"/>
        <w:jc w:val="left"/>
      </w:pPr>
      <w:r>
        <w:rPr>
          <w:rFonts w:eastAsia="等线" w:ascii="Arial" w:cs="Arial" w:hAnsi="Arial"/>
          <w:sz w:val="22"/>
        </w:rPr>
        <w:t>不要直接展示长篇模型思考或把“多代理/多重评议次数”当作可信度本身。</w:t>
      </w:r>
    </w:p>
    <w:p>
      <w:pPr>
        <w:numPr>
          <w:numId w:val="133"/>
        </w:numPr>
        <w:spacing w:before="120" w:after="120" w:line="288" w:lineRule="auto"/>
        <w:ind w:left="0"/>
        <w:jc w:val="left"/>
      </w:pPr>
      <w:r>
        <w:rPr>
          <w:rFonts w:eastAsia="等线" w:ascii="Arial" w:cs="Arial" w:hAnsi="Arial"/>
          <w:sz w:val="22"/>
        </w:rPr>
        <w:t>不要对隐私做绝对承诺，也不要在未完成证据验证时发布看似确定的结论。</w:t>
      </w:r>
    </w:p>
    <w:p>
      <w:pPr>
        <w:pStyle w:val="3"/>
        <w:spacing w:before="300" w:after="120" w:line="288" w:lineRule="auto"/>
        <w:ind w:left="0"/>
        <w:jc w:val="left"/>
        <w:outlineLvl w:val="2"/>
      </w:pPr>
      <w:r>
        <w:rPr>
          <w:rFonts w:eastAsia="等线" w:ascii="Arial" w:cs="Arial" w:hAnsi="Arial"/>
          <w:b w:val="true"/>
          <w:sz w:val="30"/>
        </w:rPr>
        <w:t>商业策略</w:t>
      </w:r>
    </w:p>
    <w:p>
      <w:pPr>
        <w:numPr>
          <w:numId w:val="131"/>
        </w:numPr>
        <w:spacing w:before="120" w:after="120" w:line="288" w:lineRule="auto"/>
        <w:ind w:left="0"/>
        <w:jc w:val="left"/>
      </w:pPr>
      <w:r>
        <w:rPr>
          <w:rFonts w:eastAsia="等线" w:ascii="Arial" w:cs="Arial" w:hAnsi="Arial"/>
          <w:sz w:val="22"/>
        </w:rPr>
        <w:t>按病例或题组产出价值收费，例如科室病例额度、验证题组包、证据更新订阅和团队审核席位。</w:t>
      </w:r>
    </w:p>
    <w:p>
      <w:pPr>
        <w:numPr>
          <w:numId w:val="131"/>
        </w:numPr>
        <w:spacing w:before="120" w:after="120" w:line="288" w:lineRule="auto"/>
        <w:ind w:left="0"/>
        <w:jc w:val="left"/>
      </w:pPr>
      <w:r>
        <w:rPr>
          <w:rFonts w:eastAsia="等线" w:ascii="Arial" w:cs="Arial" w:hAnsi="Arial"/>
          <w:sz w:val="22"/>
        </w:rPr>
        <w:t>免费或低价层提供病例结构化预览；完整五题、独立验证、题目级证据定位与导出作为核心付费权益。</w:t>
      </w:r>
    </w:p>
    <w:p>
      <w:pPr>
        <w:numPr>
          <w:numId w:val="131"/>
        </w:numPr>
        <w:spacing w:before="120" w:after="120" w:line="288" w:lineRule="auto"/>
        <w:ind w:left="0"/>
        <w:jc w:val="left"/>
      </w:pPr>
      <w:r>
        <w:rPr>
          <w:rFonts w:eastAsia="等线" w:ascii="Arial" w:cs="Arial" w:hAnsi="Arial"/>
          <w:sz w:val="22"/>
        </w:rPr>
        <w:t>首购价、续费价、额度和取消路径同屏可见。</w:t>
      </w:r>
    </w:p>
    <w:p>
      <w:pPr>
        <w:numPr>
          <w:numId w:val="131"/>
        </w:numPr>
        <w:spacing w:before="120" w:after="120" w:line="288" w:lineRule="auto"/>
        <w:ind w:left="0"/>
        <w:jc w:val="left"/>
      </w:pPr>
      <w:r>
        <w:rPr>
          <w:rFonts w:eastAsia="等线" w:ascii="Arial" w:cs="Arial" w:hAnsi="Arial"/>
          <w:sz w:val="22"/>
        </w:rPr>
        <w:t>具体行动与优先级见九章表格。</w:t>
      </w:r>
    </w:p>
    <w:p>
      <w:pPr>
        <w:spacing w:before="120" w:after="120" w:line="288" w:lineRule="auto"/>
        <w:ind w:left="453"/>
        <w:jc w:val="left"/>
      </w:pPr>
    </w:p>
    <w:p>
      <w:pPr>
        <w:spacing w:before="120" w:after="120" w:line="288" w:lineRule="auto"/>
        <w:ind w:left="0"/>
        <w:jc w:val="left"/>
      </w:pPr>
    </w:p>
    <w:p>
      <w:pPr>
        <w:spacing w:before="120" w:after="120" w:line="288" w:lineRule="auto"/>
        <w:ind w:left="453"/>
        <w:jc w:val="left"/>
      </w:pPr>
    </w:p>
    <w:p>
      <w:pPr>
        <w:pStyle w:val="2"/>
        <w:spacing w:before="320" w:after="120" w:line="288" w:lineRule="auto"/>
        <w:ind w:left="0"/>
        <w:jc w:val="left"/>
        <w:outlineLvl w:val="1"/>
      </w:pPr>
      <w:bookmarkStart w:name="heading_42" w:id="42"/>
      <w:r>
        <w:rPr>
          <w:rFonts w:eastAsia="等线" w:ascii="Arial" w:cs="Arial" w:hAnsi="Arial"/>
          <w:b w:val="true"/>
          <w:sz w:val="32"/>
        </w:rPr>
        <w:t>八、建议的差异化产品主张</w:t>
      </w:r>
      <w:bookmarkEnd w:id="42"/>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临床决策帮助医生“得到一个回答”；OncoRounds 帮助科室“产出一套经验证、可追溯、可教学的肿瘤大查房题组”。</w:t>
            </w:r>
          </w:p>
        </w:tc>
      </w:tr>
    </w:tbl>
    <w:p>
      <w:pPr>
        <w:pStyle w:val="2"/>
        <w:spacing w:before="320" w:after="120" w:line="288" w:lineRule="auto"/>
        <w:ind w:left="0"/>
        <w:jc w:val="left"/>
        <w:outlineLvl w:val="1"/>
      </w:pPr>
      <w:r>
        <w:rPr>
          <w:rFonts w:eastAsia="等线" w:ascii="Arial" w:cs="Arial" w:hAnsi="Arial"/>
          <w:b w:val="true"/>
          <w:sz w:val="32"/>
        </w:rPr>
        <w:t>证据可见性要求见九章 P0。</w:t>
      </w:r>
    </w:p>
    <w:p>
      <w:pPr>
        <w:spacing w:before="120" w:after="120" w:line="288" w:lineRule="auto"/>
        <w:ind w:left="0"/>
        <w:jc w:val="left"/>
      </w:pPr>
    </w:p>
    <w:p>
      <w:pPr>
        <w:spacing w:before="120" w:after="120" w:line="288" w:lineRule="auto"/>
        <w:ind w:left="0"/>
        <w:jc w:val="left"/>
      </w:pPr>
    </w:p>
    <w:p>
      <w:pPr>
        <w:spacing w:before="120" w:after="120" w:line="288" w:lineRule="auto"/>
        <w:ind w:left="453"/>
        <w:jc w:val="left"/>
      </w:pPr>
    </w:p>
    <w:p>
      <w:pPr>
        <w:pStyle w:val="2"/>
        <w:spacing w:before="320" w:after="120" w:line="288" w:lineRule="auto"/>
        <w:ind w:left="0"/>
        <w:jc w:val="left"/>
        <w:outlineLvl w:val="1"/>
      </w:pPr>
      <w:bookmarkStart w:name="heading_43" w:id="43"/>
      <w:r>
        <w:rPr>
          <w:rFonts w:eastAsia="等线" w:ascii="Arial" w:cs="Arial" w:hAnsi="Arial"/>
          <w:b w:val="true"/>
          <w:sz w:val="32"/>
        </w:rPr>
        <w:t>九、建议优先级</w:t>
      </w:r>
      <w:bookmarkEnd w:id="4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设计上传前脱敏 + OCR 后敏感字段确认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建立比竞品更可信的隐私边界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在最终五题页展示验证状态、证据类型与定位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把循证严谨性变成可见差异</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证据不足时支持停止发布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避免“凑题”和虚假确定性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用肿瘤时间轴核对病例，而非长病历全文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降低病例确认成本和 OCR 风险</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把生成过程压缩成任务状态，不暴露长篇内部思考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降低等待焦虑和认知负担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增加题组预览、修改意见和版本对比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强化教学工作流而非一次性问答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建立账号、角色、认证与病例数据控制中心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让专业身份和隐私治理可发现、可操作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增加错题复盘、病例专题和证据更新提醒</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建立垂直留存机制</w:t>
            </w:r>
          </w:p>
        </w:tc>
      </w:tr>
      <w:tr>
        <w:tc>
          <w:tcPr>
            <w:tcW w:type="dxa" w:w="2760"/>
          </w:tcPr>
          <w:p>
            <w:r>
              <w:t>P1</w:t>
            </w:r>
          </w:p>
        </w:tc>
        <w:tc>
          <w:tcPr>
            <w:tcW w:type="dxa" w:w="2760"/>
          </w:tcPr>
          <w:p>
            <w:r>
              <w:t>首购价、续费价、额度与取消路径同屏可见</w:t>
            </w:r>
          </w:p>
        </w:tc>
        <w:tc>
          <w:tcPr>
            <w:tcW w:type="dxa" w:w="2760"/>
          </w:tcPr>
          <w:p>
            <w:r>
              <w:t>降低续费理解成本与自动续费争议</w:t>
            </w:r>
          </w:p>
        </w:tc>
      </w:tr>
    </w:tbl>
    <w:p>
      <w:pPr>
        <w:spacing w:before="120" w:after="120" w:line="288" w:lineRule="auto"/>
        <w:ind w:left="0"/>
        <w:jc w:val="left"/>
      </w:pPr>
    </w:p>
    <w:p>
      <w:pPr>
        <w:pStyle w:val="2"/>
        <w:spacing w:before="320" w:after="120" w:line="288" w:lineRule="auto"/>
        <w:ind w:left="0"/>
        <w:jc w:val="left"/>
        <w:outlineLvl w:val="1"/>
      </w:pPr>
      <w:bookmarkStart w:name="heading_44" w:id="44"/>
      <w:r>
        <w:rPr>
          <w:rFonts w:eastAsia="等线" w:ascii="Arial" w:cs="Arial" w:hAnsi="Arial"/>
          <w:b w:val="true"/>
          <w:sz w:val="32"/>
        </w:rPr>
        <w:t>十、证据边界与下一步验证</w:t>
      </w:r>
      <w:bookmarkEnd w:id="44"/>
    </w:p>
    <w:p>
      <w:pPr>
        <w:spacing w:before="120" w:after="120" w:line="288" w:lineRule="auto"/>
        <w:ind w:left="0"/>
        <w:jc w:val="left"/>
      </w:pPr>
    </w:p>
    <w:p>
      <w:pPr>
        <w:spacing w:before="120" w:after="120" w:line="288" w:lineRule="auto"/>
        <w:ind w:left="0"/>
        <w:jc w:val="left"/>
      </w:pPr>
      <w:r>
        <w:rPr>
          <w:rFonts w:eastAsia="等线" w:ascii="Arial" w:cs="Arial" w:hAnsi="Arial"/>
          <w:sz w:val="22"/>
        </w:rPr>
        <w:t>本报告已通过用户实测口述确认：会话删除后不可恢复；病例解析约 30 秒、病例分析约 2 分钟；解析失败、停止生成和重试不扣额度；取消自动续费与退款可正常处理；引用来源跳转准确，且能定位到支持结论的具体原文段落。仍不能确认：连续包月优惠后的明确续费金额、订单/退款流程细节、模型和检索库来源、回答医学准确率、同一病例重复生成的事实一致率、敏感信息在上传/OCR/传输/日志/模型调用/存储各阶段的真实处理方式、保存地域与期限、第三方处理者、个人信息下载的覆盖范围、会话删除是否连带清除原图/OCR/模型记录及第三方副本、账号注销的后端删除范围和完成时限、认证审核方与材料保留规则、人工审核比例、历史会话搜索筛选、生成内容导出分享、团队协作及无障碍实现。结构化输出未展示直接标识符，仅能证明“可见输出层未呈现”，不能外推为全链路未处理或未保存。</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若进入下一轮竞品验证，建议用同一个脱敏肿瘤病例对两款产品进行任务对测，统一记录：病例录入耗时、OCR 错误数、首次可用结果时间、证据命中率、引用可核验率、错误/证据不足处理、修改成本和最终教学产物质量。</w:t>
      </w:r>
    </w:p>
    <w:p>
      <w:pPr>
        <w:spacing w:before="120" w:after="120" w:line="288" w:lineRule="auto"/>
        <w:ind w:left="0"/>
        <w:jc w:val="left"/>
      </w:pPr>
    </w:p>
    <w:sectPr>
      <w:footerReference w:type="default" r:id="rId3"/>
      <w:headerReference w:type="default" r:id="rId2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高靖翔 9691"/>
          <v:fill opacity="0.3"/>
        </v:shape>
      </w:pict>
    </w:r>
  </w:p>
</w:hdr>
</file>

<file path=word/numbering.xml><?xml version="1.0" encoding="utf-8"?>
<w:numbering xmlns:w="http://schemas.openxmlformats.org/wordprocessingml/2006/main">
  <w:abstractNum w:abstractNumId="808756">
    <w:lvl>
      <w:start w:val="1"/>
      <w:numFmt w:val="decimal"/>
      <w:suff w:val="tab"/>
      <w:lvlText w:val="%1."/>
      <w:rPr>
        <w:color w:val="3370ff"/>
      </w:rPr>
    </w:lvl>
  </w:abstractNum>
  <w:abstractNum w:abstractNumId="808757">
    <w:lvl>
      <w:start w:val="2"/>
      <w:numFmt w:val="decimal"/>
      <w:suff w:val="tab"/>
      <w:lvlText w:val="%1."/>
      <w:rPr>
        <w:color w:val="3370ff"/>
      </w:rPr>
    </w:lvl>
  </w:abstractNum>
  <w:abstractNum w:abstractNumId="808758">
    <w:lvl>
      <w:numFmt w:val="bullet"/>
      <w:suff w:val="tab"/>
      <w:lvlText w:val="•"/>
      <w:rPr>
        <w:color w:val="3370ff"/>
      </w:rPr>
    </w:lvl>
  </w:abstractNum>
  <w:abstractNum w:abstractNumId="808759">
    <w:lvl>
      <w:numFmt w:val="bullet"/>
      <w:suff w:val="tab"/>
      <w:lvlText w:val="•"/>
      <w:rPr>
        <w:color w:val="3370ff"/>
      </w:rPr>
    </w:lvl>
  </w:abstractNum>
  <w:abstractNum w:abstractNumId="808760">
    <w:lvl>
      <w:numFmt w:val="bullet"/>
      <w:suff w:val="tab"/>
      <w:lvlText w:val="•"/>
      <w:rPr>
        <w:color w:val="3370ff"/>
      </w:rPr>
    </w:lvl>
  </w:abstractNum>
  <w:abstractNum w:abstractNumId="808761">
    <w:lvl>
      <w:numFmt w:val="bullet"/>
      <w:suff w:val="tab"/>
      <w:lvlText w:val="•"/>
      <w:rPr>
        <w:color w:val="3370ff"/>
      </w:rPr>
    </w:lvl>
  </w:abstractNum>
  <w:abstractNum w:abstractNumId="808762">
    <w:lvl>
      <w:numFmt w:val="bullet"/>
      <w:suff w:val="tab"/>
      <w:lvlText w:val="•"/>
      <w:rPr>
        <w:color w:val="3370ff"/>
      </w:rPr>
    </w:lvl>
  </w:abstractNum>
  <w:abstractNum w:abstractNumId="808763">
    <w:lvl>
      <w:numFmt w:val="bullet"/>
      <w:suff w:val="tab"/>
      <w:lvlText w:val="•"/>
      <w:rPr>
        <w:color w:val="3370ff"/>
      </w:rPr>
    </w:lvl>
  </w:abstractNum>
  <w:abstractNum w:abstractNumId="808764">
    <w:lvl>
      <w:numFmt w:val="bullet"/>
      <w:suff w:val="tab"/>
      <w:lvlText w:val="•"/>
      <w:rPr>
        <w:color w:val="3370ff"/>
      </w:rPr>
    </w:lvl>
  </w:abstractNum>
  <w:abstractNum w:abstractNumId="808765">
    <w:lvl>
      <w:numFmt w:val="bullet"/>
      <w:suff w:val="tab"/>
      <w:lvlText w:val="•"/>
      <w:rPr>
        <w:color w:val="3370ff"/>
      </w:rPr>
    </w:lvl>
  </w:abstractNum>
  <w:abstractNum w:abstractNumId="808766">
    <w:lvl>
      <w:numFmt w:val="bullet"/>
      <w:suff w:val="tab"/>
      <w:lvlText w:val="•"/>
      <w:rPr>
        <w:color w:val="3370ff"/>
      </w:rPr>
    </w:lvl>
  </w:abstractNum>
  <w:abstractNum w:abstractNumId="808767">
    <w:lvl>
      <w:numFmt w:val="bullet"/>
      <w:suff w:val="tab"/>
      <w:lvlText w:val="•"/>
      <w:rPr>
        <w:color w:val="3370ff"/>
      </w:rPr>
    </w:lvl>
  </w:abstractNum>
  <w:abstractNum w:abstractNumId="808768">
    <w:lvl>
      <w:numFmt w:val="bullet"/>
      <w:suff w:val="tab"/>
      <w:lvlText w:val="•"/>
      <w:rPr>
        <w:color w:val="3370ff"/>
      </w:rPr>
    </w:lvl>
  </w:abstractNum>
  <w:abstractNum w:abstractNumId="808769">
    <w:lvl>
      <w:numFmt w:val="bullet"/>
      <w:suff w:val="tab"/>
      <w:lvlText w:val="•"/>
      <w:rPr>
        <w:color w:val="3370ff"/>
      </w:rPr>
    </w:lvl>
  </w:abstractNum>
  <w:abstractNum w:abstractNumId="808770">
    <w:lvl>
      <w:numFmt w:val="bullet"/>
      <w:suff w:val="tab"/>
      <w:lvlText w:val="•"/>
      <w:rPr>
        <w:color w:val="3370ff"/>
      </w:rPr>
    </w:lvl>
  </w:abstractNum>
  <w:abstractNum w:abstractNumId="808771">
    <w:lvl>
      <w:numFmt w:val="bullet"/>
      <w:suff w:val="tab"/>
      <w:lvlText w:val="•"/>
      <w:rPr>
        <w:color w:val="3370ff"/>
      </w:rPr>
    </w:lvl>
  </w:abstractNum>
  <w:abstractNum w:abstractNumId="808772">
    <w:lvl>
      <w:numFmt w:val="bullet"/>
      <w:suff w:val="tab"/>
      <w:lvlText w:val="•"/>
      <w:rPr>
        <w:color w:val="3370ff"/>
      </w:rPr>
    </w:lvl>
  </w:abstractNum>
  <w:abstractNum w:abstractNumId="808773">
    <w:lvl>
      <w:numFmt w:val="bullet"/>
      <w:suff w:val="tab"/>
      <w:lvlText w:val="•"/>
      <w:rPr>
        <w:color w:val="3370ff"/>
      </w:rPr>
    </w:lvl>
  </w:abstractNum>
  <w:abstractNum w:abstractNumId="808774">
    <w:lvl>
      <w:numFmt w:val="bullet"/>
      <w:suff w:val="tab"/>
      <w:lvlText w:val="•"/>
      <w:rPr>
        <w:color w:val="3370ff"/>
      </w:rPr>
    </w:lvl>
  </w:abstractNum>
  <w:abstractNum w:abstractNumId="808775">
    <w:lvl>
      <w:numFmt w:val="bullet"/>
      <w:suff w:val="tab"/>
      <w:lvlText w:val="•"/>
      <w:rPr>
        <w:color w:val="3370ff"/>
      </w:rPr>
    </w:lvl>
  </w:abstractNum>
  <w:abstractNum w:abstractNumId="808776">
    <w:lvl>
      <w:numFmt w:val="bullet"/>
      <w:suff w:val="tab"/>
      <w:lvlText w:val="•"/>
      <w:rPr>
        <w:color w:val="3370ff"/>
      </w:rPr>
    </w:lvl>
  </w:abstractNum>
  <w:abstractNum w:abstractNumId="808777">
    <w:lvl>
      <w:numFmt w:val="bullet"/>
      <w:suff w:val="tab"/>
      <w:lvlText w:val="•"/>
      <w:rPr>
        <w:color w:val="3370ff"/>
      </w:rPr>
    </w:lvl>
  </w:abstractNum>
  <w:abstractNum w:abstractNumId="808778">
    <w:lvl>
      <w:numFmt w:val="bullet"/>
      <w:suff w:val="tab"/>
      <w:lvlText w:val="•"/>
      <w:rPr>
        <w:color w:val="3370ff"/>
      </w:rPr>
    </w:lvl>
  </w:abstractNum>
  <w:abstractNum w:abstractNumId="808779">
    <w:lvl>
      <w:numFmt w:val="bullet"/>
      <w:suff w:val="tab"/>
      <w:lvlText w:val="•"/>
      <w:rPr>
        <w:color w:val="3370ff"/>
      </w:rPr>
    </w:lvl>
  </w:abstractNum>
  <w:abstractNum w:abstractNumId="808780">
    <w:lvl>
      <w:numFmt w:val="bullet"/>
      <w:suff w:val="tab"/>
      <w:lvlText w:val="•"/>
      <w:rPr>
        <w:color w:val="3370ff"/>
      </w:rPr>
    </w:lvl>
  </w:abstractNum>
  <w:abstractNum w:abstractNumId="808781">
    <w:lvl>
      <w:numFmt w:val="bullet"/>
      <w:suff w:val="tab"/>
      <w:lvlText w:val="•"/>
      <w:rPr>
        <w:color w:val="3370ff"/>
      </w:rPr>
    </w:lvl>
  </w:abstractNum>
  <w:abstractNum w:abstractNumId="808782">
    <w:lvl>
      <w:numFmt w:val="bullet"/>
      <w:suff w:val="tab"/>
      <w:lvlText w:val="•"/>
      <w:rPr>
        <w:color w:val="3370ff"/>
      </w:rPr>
    </w:lvl>
  </w:abstractNum>
  <w:abstractNum w:abstractNumId="808783">
    <w:lvl>
      <w:numFmt w:val="bullet"/>
      <w:suff w:val="tab"/>
      <w:lvlText w:val="•"/>
      <w:rPr>
        <w:color w:val="3370ff"/>
      </w:rPr>
    </w:lvl>
  </w:abstractNum>
  <w:abstractNum w:abstractNumId="808784">
    <w:lvl>
      <w:numFmt w:val="bullet"/>
      <w:suff w:val="tab"/>
      <w:lvlText w:val="•"/>
      <w:rPr>
        <w:color w:val="3370ff"/>
      </w:rPr>
    </w:lvl>
  </w:abstractNum>
  <w:abstractNum w:abstractNumId="808785">
    <w:lvl>
      <w:numFmt w:val="bullet"/>
      <w:suff w:val="tab"/>
      <w:lvlText w:val="•"/>
      <w:rPr>
        <w:color w:val="3370ff"/>
      </w:rPr>
    </w:lvl>
  </w:abstractNum>
  <w:abstractNum w:abstractNumId="808786">
    <w:lvl>
      <w:numFmt w:val="bullet"/>
      <w:suff w:val="tab"/>
      <w:lvlText w:val="•"/>
      <w:rPr>
        <w:color w:val="3370ff"/>
      </w:rPr>
    </w:lvl>
  </w:abstractNum>
  <w:abstractNum w:abstractNumId="808787">
    <w:lvl>
      <w:numFmt w:val="bullet"/>
      <w:suff w:val="tab"/>
      <w:lvlText w:val="•"/>
      <w:rPr>
        <w:color w:val="3370ff"/>
      </w:rPr>
    </w:lvl>
  </w:abstractNum>
  <w:abstractNum w:abstractNumId="808788">
    <w:lvl>
      <w:numFmt w:val="bullet"/>
      <w:suff w:val="tab"/>
      <w:lvlText w:val="•"/>
      <w:rPr>
        <w:color w:val="3370ff"/>
      </w:rPr>
    </w:lvl>
  </w:abstractNum>
  <w:abstractNum w:abstractNumId="808789">
    <w:lvl>
      <w:numFmt w:val="bullet"/>
      <w:suff w:val="tab"/>
      <w:lvlText w:val="•"/>
      <w:rPr>
        <w:color w:val="3370ff"/>
      </w:rPr>
    </w:lvl>
  </w:abstractNum>
  <w:abstractNum w:abstractNumId="808790">
    <w:lvl>
      <w:numFmt w:val="bullet"/>
      <w:suff w:val="tab"/>
      <w:lvlText w:val="•"/>
      <w:rPr>
        <w:color w:val="3370ff"/>
      </w:rPr>
    </w:lvl>
  </w:abstractNum>
  <w:abstractNum w:abstractNumId="808791">
    <w:lvl>
      <w:numFmt w:val="bullet"/>
      <w:suff w:val="tab"/>
      <w:lvlText w:val="•"/>
      <w:rPr>
        <w:color w:val="3370ff"/>
      </w:rPr>
    </w:lvl>
  </w:abstractNum>
  <w:abstractNum w:abstractNumId="808792">
    <w:lvl>
      <w:numFmt w:val="bullet"/>
      <w:suff w:val="tab"/>
      <w:lvlText w:val="•"/>
      <w:rPr>
        <w:color w:val="3370ff"/>
      </w:rPr>
    </w:lvl>
  </w:abstractNum>
  <w:abstractNum w:abstractNumId="808793">
    <w:lvl>
      <w:numFmt w:val="bullet"/>
      <w:suff w:val="tab"/>
      <w:lvlText w:val="•"/>
      <w:rPr>
        <w:color w:val="3370ff"/>
      </w:rPr>
    </w:lvl>
  </w:abstractNum>
  <w:abstractNum w:abstractNumId="808794">
    <w:lvl>
      <w:numFmt w:val="bullet"/>
      <w:suff w:val="tab"/>
      <w:lvlText w:val="•"/>
      <w:rPr>
        <w:color w:val="3370ff"/>
      </w:rPr>
    </w:lvl>
  </w:abstractNum>
  <w:abstractNum w:abstractNumId="808795">
    <w:lvl>
      <w:numFmt w:val="bullet"/>
      <w:suff w:val="tab"/>
      <w:lvlText w:val="•"/>
      <w:rPr>
        <w:color w:val="3370ff"/>
      </w:rPr>
    </w:lvl>
  </w:abstractNum>
  <w:abstractNum w:abstractNumId="808796">
    <w:lvl>
      <w:numFmt w:val="bullet"/>
      <w:suff w:val="tab"/>
      <w:lvlText w:val="•"/>
      <w:rPr>
        <w:color w:val="3370ff"/>
      </w:rPr>
    </w:lvl>
  </w:abstractNum>
  <w:abstractNum w:abstractNumId="808797">
    <w:lvl>
      <w:numFmt w:val="bullet"/>
      <w:suff w:val="tab"/>
      <w:lvlText w:val="•"/>
      <w:rPr>
        <w:color w:val="3370ff"/>
      </w:rPr>
    </w:lvl>
  </w:abstractNum>
  <w:abstractNum w:abstractNumId="808798">
    <w:lvl>
      <w:numFmt w:val="bullet"/>
      <w:suff w:val="tab"/>
      <w:lvlText w:val="•"/>
      <w:rPr>
        <w:color w:val="3370ff"/>
      </w:rPr>
    </w:lvl>
  </w:abstractNum>
  <w:abstractNum w:abstractNumId="808799">
    <w:lvl>
      <w:numFmt w:val="bullet"/>
      <w:suff w:val="tab"/>
      <w:lvlText w:val="•"/>
      <w:rPr>
        <w:color w:val="3370ff"/>
      </w:rPr>
    </w:lvl>
  </w:abstractNum>
  <w:abstractNum w:abstractNumId="808800">
    <w:lvl>
      <w:numFmt w:val="bullet"/>
      <w:suff w:val="tab"/>
      <w:lvlText w:val="•"/>
      <w:rPr>
        <w:color w:val="3370ff"/>
      </w:rPr>
    </w:lvl>
  </w:abstractNum>
  <w:abstractNum w:abstractNumId="808801">
    <w:lvl>
      <w:numFmt w:val="bullet"/>
      <w:suff w:val="tab"/>
      <w:lvlText w:val="•"/>
      <w:rPr>
        <w:color w:val="3370ff"/>
      </w:rPr>
    </w:lvl>
  </w:abstractNum>
  <w:abstractNum w:abstractNumId="808802">
    <w:lvl>
      <w:numFmt w:val="bullet"/>
      <w:suff w:val="tab"/>
      <w:lvlText w:val="•"/>
      <w:rPr>
        <w:color w:val="3370ff"/>
      </w:rPr>
    </w:lvl>
  </w:abstractNum>
  <w:abstractNum w:abstractNumId="808803">
    <w:lvl>
      <w:numFmt w:val="bullet"/>
      <w:suff w:val="tab"/>
      <w:lvlText w:val="•"/>
      <w:rPr>
        <w:color w:val="3370ff"/>
      </w:rPr>
    </w:lvl>
  </w:abstractNum>
  <w:abstractNum w:abstractNumId="808804">
    <w:lvl>
      <w:numFmt w:val="bullet"/>
      <w:suff w:val="tab"/>
      <w:lvlText w:val="•"/>
      <w:rPr>
        <w:color w:val="3370ff"/>
      </w:rPr>
    </w:lvl>
  </w:abstractNum>
  <w:abstractNum w:abstractNumId="808805">
    <w:lvl>
      <w:numFmt w:val="bullet"/>
      <w:suff w:val="tab"/>
      <w:lvlText w:val="•"/>
      <w:rPr>
        <w:color w:val="3370ff"/>
      </w:rPr>
    </w:lvl>
  </w:abstractNum>
  <w:abstractNum w:abstractNumId="808806">
    <w:lvl>
      <w:numFmt w:val="bullet"/>
      <w:suff w:val="tab"/>
      <w:lvlText w:val="•"/>
      <w:rPr>
        <w:color w:val="3370ff"/>
      </w:rPr>
    </w:lvl>
  </w:abstractNum>
  <w:abstractNum w:abstractNumId="808807">
    <w:lvl>
      <w:numFmt w:val="bullet"/>
      <w:suff w:val="tab"/>
      <w:lvlText w:val="•"/>
      <w:rPr>
        <w:color w:val="3370ff"/>
      </w:rPr>
    </w:lvl>
  </w:abstractNum>
  <w:abstractNum w:abstractNumId="808808">
    <w:lvl>
      <w:numFmt w:val="bullet"/>
      <w:suff w:val="tab"/>
      <w:lvlText w:val="•"/>
      <w:rPr>
        <w:color w:val="3370ff"/>
      </w:rPr>
    </w:lvl>
  </w:abstractNum>
  <w:abstractNum w:abstractNumId="808809">
    <w:lvl>
      <w:numFmt w:val="bullet"/>
      <w:suff w:val="tab"/>
      <w:lvlText w:val="•"/>
      <w:rPr>
        <w:color w:val="3370ff"/>
      </w:rPr>
    </w:lvl>
  </w:abstractNum>
  <w:abstractNum w:abstractNumId="808810">
    <w:lvl>
      <w:numFmt w:val="bullet"/>
      <w:suff w:val="tab"/>
      <w:lvlText w:val="•"/>
      <w:rPr>
        <w:color w:val="3370ff"/>
      </w:rPr>
    </w:lvl>
  </w:abstractNum>
  <w:abstractNum w:abstractNumId="808811">
    <w:lvl>
      <w:numFmt w:val="bullet"/>
      <w:suff w:val="tab"/>
      <w:lvlText w:val="•"/>
      <w:rPr>
        <w:color w:val="3370ff"/>
      </w:rPr>
    </w:lvl>
  </w:abstractNum>
  <w:abstractNum w:abstractNumId="808812">
    <w:lvl>
      <w:numFmt w:val="bullet"/>
      <w:suff w:val="tab"/>
      <w:lvlText w:val="•"/>
      <w:rPr>
        <w:color w:val="3370ff"/>
      </w:rPr>
    </w:lvl>
  </w:abstractNum>
  <w:abstractNum w:abstractNumId="808813">
    <w:lvl>
      <w:numFmt w:val="bullet"/>
      <w:suff w:val="tab"/>
      <w:lvlText w:val="•"/>
      <w:rPr>
        <w:color w:val="3370ff"/>
      </w:rPr>
    </w:lvl>
  </w:abstractNum>
  <w:abstractNum w:abstractNumId="808814">
    <w:lvl>
      <w:numFmt w:val="bullet"/>
      <w:suff w:val="tab"/>
      <w:lvlText w:val="•"/>
      <w:rPr>
        <w:color w:val="3370ff"/>
      </w:rPr>
    </w:lvl>
  </w:abstractNum>
  <w:abstractNum w:abstractNumId="808815">
    <w:lvl>
      <w:numFmt w:val="bullet"/>
      <w:suff w:val="tab"/>
      <w:lvlText w:val="•"/>
      <w:rPr>
        <w:color w:val="3370ff"/>
      </w:rPr>
    </w:lvl>
  </w:abstractNum>
  <w:abstractNum w:abstractNumId="808816">
    <w:lvl>
      <w:numFmt w:val="bullet"/>
      <w:suff w:val="tab"/>
      <w:lvlText w:val="•"/>
      <w:rPr>
        <w:color w:val="3370ff"/>
      </w:rPr>
    </w:lvl>
  </w:abstractNum>
  <w:abstractNum w:abstractNumId="808817">
    <w:lvl>
      <w:numFmt w:val="bullet"/>
      <w:suff w:val="tab"/>
      <w:lvlText w:val="•"/>
      <w:rPr>
        <w:color w:val="3370ff"/>
      </w:rPr>
    </w:lvl>
  </w:abstractNum>
  <w:abstractNum w:abstractNumId="808818">
    <w:lvl>
      <w:numFmt w:val="bullet"/>
      <w:suff w:val="tab"/>
      <w:lvlText w:val="•"/>
      <w:rPr>
        <w:color w:val="3370ff"/>
      </w:rPr>
    </w:lvl>
  </w:abstractNum>
  <w:abstractNum w:abstractNumId="808819">
    <w:lvl>
      <w:numFmt w:val="bullet"/>
      <w:suff w:val="tab"/>
      <w:lvlText w:val="•"/>
      <w:rPr>
        <w:color w:val="3370ff"/>
      </w:rPr>
    </w:lvl>
  </w:abstractNum>
  <w:abstractNum w:abstractNumId="808820">
    <w:lvl>
      <w:numFmt w:val="bullet"/>
      <w:suff w:val="tab"/>
      <w:lvlText w:val="•"/>
      <w:rPr>
        <w:color w:val="3370ff"/>
      </w:rPr>
    </w:lvl>
  </w:abstractNum>
  <w:abstractNum w:abstractNumId="808821">
    <w:lvl>
      <w:numFmt w:val="bullet"/>
      <w:suff w:val="tab"/>
      <w:lvlText w:val="•"/>
      <w:rPr>
        <w:color w:val="3370ff"/>
      </w:rPr>
    </w:lvl>
  </w:abstractNum>
  <w:abstractNum w:abstractNumId="808822">
    <w:lvl>
      <w:numFmt w:val="bullet"/>
      <w:suff w:val="tab"/>
      <w:lvlText w:val="•"/>
      <w:rPr>
        <w:color w:val="3370ff"/>
      </w:rPr>
    </w:lvl>
  </w:abstractNum>
  <w:abstractNum w:abstractNumId="808823">
    <w:lvl>
      <w:numFmt w:val="bullet"/>
      <w:suff w:val="tab"/>
      <w:lvlText w:val="•"/>
      <w:rPr>
        <w:color w:val="3370ff"/>
      </w:rPr>
    </w:lvl>
  </w:abstractNum>
  <w:abstractNum w:abstractNumId="808824">
    <w:lvl>
      <w:numFmt w:val="bullet"/>
      <w:suff w:val="tab"/>
      <w:lvlText w:val="•"/>
      <w:rPr>
        <w:color w:val="3370ff"/>
      </w:rPr>
    </w:lvl>
  </w:abstractNum>
  <w:abstractNum w:abstractNumId="808825">
    <w:lvl>
      <w:numFmt w:val="bullet"/>
      <w:suff w:val="tab"/>
      <w:lvlText w:val="•"/>
      <w:rPr>
        <w:color w:val="3370ff"/>
      </w:rPr>
    </w:lvl>
  </w:abstractNum>
  <w:abstractNum w:abstractNumId="808826">
    <w:lvl>
      <w:numFmt w:val="bullet"/>
      <w:suff w:val="tab"/>
      <w:lvlText w:val="•"/>
      <w:rPr>
        <w:color w:val="3370ff"/>
      </w:rPr>
    </w:lvl>
  </w:abstractNum>
  <w:abstractNum w:abstractNumId="808827">
    <w:lvl>
      <w:numFmt w:val="bullet"/>
      <w:suff w:val="tab"/>
      <w:lvlText w:val="•"/>
      <w:rPr>
        <w:color w:val="3370ff"/>
      </w:rPr>
    </w:lvl>
  </w:abstractNum>
  <w:abstractNum w:abstractNumId="808828">
    <w:lvl>
      <w:numFmt w:val="bullet"/>
      <w:suff w:val="tab"/>
      <w:lvlText w:val="•"/>
      <w:rPr>
        <w:color w:val="3370ff"/>
      </w:rPr>
    </w:lvl>
  </w:abstractNum>
  <w:abstractNum w:abstractNumId="808829">
    <w:lvl>
      <w:numFmt w:val="bullet"/>
      <w:suff w:val="tab"/>
      <w:lvlText w:val="•"/>
      <w:rPr>
        <w:color w:val="3370ff"/>
      </w:rPr>
    </w:lvl>
  </w:abstractNum>
  <w:abstractNum w:abstractNumId="808830">
    <w:lvl>
      <w:numFmt w:val="bullet"/>
      <w:suff w:val="tab"/>
      <w:lvlText w:val="•"/>
      <w:rPr>
        <w:color w:val="3370ff"/>
      </w:rPr>
    </w:lvl>
  </w:abstractNum>
  <w:abstractNum w:abstractNumId="808831">
    <w:lvl>
      <w:numFmt w:val="bullet"/>
      <w:suff w:val="tab"/>
      <w:lvlText w:val="•"/>
      <w:rPr>
        <w:color w:val="3370ff"/>
      </w:rPr>
    </w:lvl>
  </w:abstractNum>
  <w:abstractNum w:abstractNumId="808832">
    <w:lvl>
      <w:numFmt w:val="bullet"/>
      <w:suff w:val="tab"/>
      <w:lvlText w:val="•"/>
      <w:rPr>
        <w:color w:val="3370ff"/>
      </w:rPr>
    </w:lvl>
  </w:abstractNum>
  <w:abstractNum w:abstractNumId="808833">
    <w:lvl>
      <w:numFmt w:val="bullet"/>
      <w:suff w:val="tab"/>
      <w:lvlText w:val="•"/>
      <w:rPr>
        <w:color w:val="3370ff"/>
      </w:rPr>
    </w:lvl>
  </w:abstractNum>
  <w:abstractNum w:abstractNumId="808834">
    <w:lvl>
      <w:numFmt w:val="bullet"/>
      <w:suff w:val="tab"/>
      <w:lvlText w:val="•"/>
      <w:rPr>
        <w:color w:val="3370ff"/>
      </w:rPr>
    </w:lvl>
  </w:abstractNum>
  <w:abstractNum w:abstractNumId="808835">
    <w:lvl>
      <w:numFmt w:val="bullet"/>
      <w:suff w:val="tab"/>
      <w:lvlText w:val="•"/>
      <w:rPr>
        <w:color w:val="3370ff"/>
      </w:rPr>
    </w:lvl>
  </w:abstractNum>
  <w:abstractNum w:abstractNumId="808836">
    <w:lvl>
      <w:numFmt w:val="bullet"/>
      <w:suff w:val="tab"/>
      <w:lvlText w:val="•"/>
      <w:rPr>
        <w:color w:val="3370ff"/>
      </w:rPr>
    </w:lvl>
  </w:abstractNum>
  <w:abstractNum w:abstractNumId="808837">
    <w:lvl>
      <w:numFmt w:val="bullet"/>
      <w:suff w:val="tab"/>
      <w:lvlText w:val="•"/>
      <w:rPr>
        <w:color w:val="3370ff"/>
      </w:rPr>
    </w:lvl>
  </w:abstractNum>
  <w:abstractNum w:abstractNumId="808838">
    <w:lvl>
      <w:numFmt w:val="bullet"/>
      <w:suff w:val="tab"/>
      <w:lvlText w:val="•"/>
      <w:rPr>
        <w:color w:val="3370ff"/>
      </w:rPr>
    </w:lvl>
  </w:abstractNum>
  <w:abstractNum w:abstractNumId="808839">
    <w:lvl>
      <w:numFmt w:val="bullet"/>
      <w:suff w:val="tab"/>
      <w:lvlText w:val="•"/>
      <w:rPr>
        <w:color w:val="3370ff"/>
      </w:rPr>
    </w:lvl>
  </w:abstractNum>
  <w:abstractNum w:abstractNumId="808840">
    <w:lvl>
      <w:numFmt w:val="bullet"/>
      <w:suff w:val="tab"/>
      <w:lvlText w:val="•"/>
      <w:rPr>
        <w:color w:val="3370ff"/>
      </w:rPr>
    </w:lvl>
  </w:abstractNum>
  <w:abstractNum w:abstractNumId="808841">
    <w:lvl>
      <w:start w:val="1"/>
      <w:numFmt w:val="decimal"/>
      <w:suff w:val="tab"/>
      <w:lvlText w:val="%1."/>
      <w:rPr>
        <w:color w:val="3370ff"/>
      </w:rPr>
    </w:lvl>
  </w:abstractNum>
  <w:abstractNum w:abstractNumId="808842">
    <w:lvl>
      <w:start w:val="2"/>
      <w:numFmt w:val="decimal"/>
      <w:suff w:val="tab"/>
      <w:lvlText w:val="%1."/>
      <w:rPr>
        <w:color w:val="3370ff"/>
      </w:rPr>
    </w:lvl>
  </w:abstractNum>
  <w:abstractNum w:abstractNumId="808843">
    <w:lvl>
      <w:start w:val="3"/>
      <w:numFmt w:val="decimal"/>
      <w:suff w:val="tab"/>
      <w:lvlText w:val="%1."/>
      <w:rPr>
        <w:color w:val="3370ff"/>
      </w:rPr>
    </w:lvl>
  </w:abstractNum>
  <w:abstractNum w:abstractNumId="808844">
    <w:lvl>
      <w:start w:val="4"/>
      <w:numFmt w:val="decimal"/>
      <w:suff w:val="tab"/>
      <w:lvlText w:val="%1."/>
      <w:rPr>
        <w:color w:val="3370ff"/>
      </w:rPr>
    </w:lvl>
  </w:abstractNum>
  <w:abstractNum w:abstractNumId="808845">
    <w:lvl>
      <w:start w:val="5"/>
      <w:numFmt w:val="decimal"/>
      <w:suff w:val="tab"/>
      <w:lvlText w:val="%1."/>
      <w:rPr>
        <w:color w:val="3370ff"/>
      </w:rPr>
    </w:lvl>
  </w:abstractNum>
  <w:abstractNum w:abstractNumId="808846">
    <w:lvl>
      <w:numFmt w:val="bullet"/>
      <w:suff w:val="tab"/>
      <w:lvlText w:val="•"/>
      <w:rPr>
        <w:color w:val="3370ff"/>
      </w:rPr>
    </w:lvl>
  </w:abstractNum>
  <w:abstractNum w:abstractNumId="808847">
    <w:lvl>
      <w:numFmt w:val="bullet"/>
      <w:suff w:val="tab"/>
      <w:lvlText w:val="•"/>
      <w:rPr>
        <w:color w:val="3370ff"/>
      </w:rPr>
    </w:lvl>
  </w:abstractNum>
  <w:abstractNum w:abstractNumId="808848">
    <w:lvl>
      <w:numFmt w:val="bullet"/>
      <w:suff w:val="tab"/>
      <w:lvlText w:val="•"/>
      <w:rPr>
        <w:color w:val="3370ff"/>
      </w:rPr>
    </w:lvl>
  </w:abstractNum>
  <w:abstractNum w:abstractNumId="808849">
    <w:lvl>
      <w:start w:val="1"/>
      <w:numFmt w:val="decimal"/>
      <w:suff w:val="tab"/>
      <w:lvlText w:val="%1."/>
      <w:rPr>
        <w:color w:val="3370ff"/>
      </w:rPr>
    </w:lvl>
  </w:abstractNum>
  <w:abstractNum w:abstractNumId="808850">
    <w:lvl>
      <w:start w:val="2"/>
      <w:numFmt w:val="decimal"/>
      <w:suff w:val="tab"/>
      <w:lvlText w:val="%1."/>
      <w:rPr>
        <w:color w:val="3370ff"/>
      </w:rPr>
    </w:lvl>
  </w:abstractNum>
  <w:abstractNum w:abstractNumId="808851">
    <w:lvl>
      <w:start w:val="3"/>
      <w:numFmt w:val="decimal"/>
      <w:suff w:val="tab"/>
      <w:lvlText w:val="%1."/>
      <w:rPr>
        <w:color w:val="3370ff"/>
      </w:rPr>
    </w:lvl>
  </w:abstractNum>
  <w:abstractNum w:abstractNumId="808852">
    <w:lvl>
      <w:start w:val="4"/>
      <w:numFmt w:val="decimal"/>
      <w:suff w:val="tab"/>
      <w:lvlText w:val="%1."/>
      <w:rPr>
        <w:color w:val="3370ff"/>
      </w:rPr>
    </w:lvl>
  </w:abstractNum>
  <w:abstractNum w:abstractNumId="808853">
    <w:lvl>
      <w:start w:val="5"/>
      <w:numFmt w:val="decimal"/>
      <w:suff w:val="tab"/>
      <w:lvlText w:val="%1."/>
      <w:rPr>
        <w:color w:val="3370ff"/>
      </w:rPr>
    </w:lvl>
  </w:abstractNum>
  <w:abstractNum w:abstractNumId="808854">
    <w:lvl>
      <w:numFmt w:val="bullet"/>
      <w:suff w:val="tab"/>
      <w:lvlText w:val="•"/>
      <w:rPr>
        <w:color w:val="3370ff"/>
      </w:rPr>
    </w:lvl>
  </w:abstractNum>
  <w:abstractNum w:abstractNumId="808855">
    <w:lvl>
      <w:numFmt w:val="bullet"/>
      <w:suff w:val="tab"/>
      <w:lvlText w:val="•"/>
      <w:rPr>
        <w:color w:val="3370ff"/>
      </w:rPr>
    </w:lvl>
  </w:abstractNum>
  <w:abstractNum w:abstractNumId="808856">
    <w:lvl>
      <w:numFmt w:val="bullet"/>
      <w:suff w:val="tab"/>
      <w:lvlText w:val="•"/>
      <w:rPr>
        <w:color w:val="3370ff"/>
      </w:rPr>
    </w:lvl>
  </w:abstractNum>
  <w:abstractNum w:abstractNumId="808857">
    <w:lvl>
      <w:numFmt w:val="bullet"/>
      <w:suff w:val="tab"/>
      <w:lvlText w:val="•"/>
      <w:rPr>
        <w:color w:val="3370ff"/>
      </w:rPr>
    </w:lvl>
  </w:abstractNum>
  <w:abstractNum w:abstractNumId="808858">
    <w:lvl>
      <w:numFmt w:val="bullet"/>
      <w:suff w:val="tab"/>
      <w:lvlText w:val="•"/>
      <w:rPr>
        <w:color w:val="3370ff"/>
      </w:rPr>
    </w:lvl>
  </w:abstractNum>
  <w:abstractNum w:abstractNumId="808859">
    <w:lvl>
      <w:numFmt w:val="bullet"/>
      <w:suff w:val="tab"/>
      <w:lvlText w:val="•"/>
      <w:rPr>
        <w:color w:val="3370ff"/>
      </w:rPr>
    </w:lvl>
  </w:abstractNum>
  <w:abstractNum w:abstractNumId="808860">
    <w:lvl>
      <w:numFmt w:val="bullet"/>
      <w:suff w:val="tab"/>
      <w:lvlText w:val="•"/>
      <w:rPr>
        <w:color w:val="3370ff"/>
      </w:rPr>
    </w:lvl>
  </w:abstractNum>
  <w:abstractNum w:abstractNumId="808861">
    <w:lvl>
      <w:numFmt w:val="bullet"/>
      <w:suff w:val="tab"/>
      <w:lvlText w:val="•"/>
      <w:rPr>
        <w:color w:val="3370ff"/>
      </w:rPr>
    </w:lvl>
  </w:abstractNum>
  <w:abstractNum w:abstractNumId="808862">
    <w:lvl>
      <w:numFmt w:val="bullet"/>
      <w:suff w:val="tab"/>
      <w:lvlText w:val="•"/>
      <w:rPr>
        <w:color w:val="3370ff"/>
      </w:rPr>
    </w:lvl>
  </w:abstractNum>
  <w:abstractNum w:abstractNumId="808863">
    <w:lvl>
      <w:numFmt w:val="bullet"/>
      <w:suff w:val="tab"/>
      <w:lvlText w:val="•"/>
      <w:rPr>
        <w:color w:val="3370ff"/>
      </w:rPr>
    </w:lvl>
  </w:abstractNum>
  <w:abstractNum w:abstractNumId="808864">
    <w:lvl>
      <w:numFmt w:val="bullet"/>
      <w:suff w:val="tab"/>
      <w:lvlText w:val="•"/>
      <w:rPr>
        <w:color w:val="3370ff"/>
      </w:rPr>
    </w:lvl>
  </w:abstractNum>
  <w:abstractNum w:abstractNumId="808865">
    <w:lvl>
      <w:numFmt w:val="bullet"/>
      <w:suff w:val="tab"/>
      <w:lvlText w:val="•"/>
      <w:rPr>
        <w:color w:val="3370ff"/>
      </w:rPr>
    </w:lvl>
  </w:abstractNum>
  <w:abstractNum w:abstractNumId="808866">
    <w:lvl>
      <w:numFmt w:val="bullet"/>
      <w:suff w:val="tab"/>
      <w:lvlText w:val="•"/>
      <w:rPr>
        <w:color w:val="3370ff"/>
      </w:rPr>
    </w:lvl>
  </w:abstractNum>
  <w:abstractNum w:abstractNumId="808867">
    <w:lvl>
      <w:numFmt w:val="bullet"/>
      <w:suff w:val="tab"/>
      <w:lvlText w:val="•"/>
      <w:rPr>
        <w:color w:val="3370ff"/>
      </w:rPr>
    </w:lvl>
  </w:abstractNum>
  <w:abstractNum w:abstractNumId="808868">
    <w:lvl>
      <w:numFmt w:val="bullet"/>
      <w:suff w:val="tab"/>
      <w:lvlText w:val="•"/>
      <w:rPr>
        <w:color w:val="3370ff"/>
      </w:rPr>
    </w:lvl>
  </w:abstractNum>
  <w:abstractNum w:abstractNumId="808869">
    <w:lvl>
      <w:numFmt w:val="bullet"/>
      <w:suff w:val="tab"/>
      <w:lvlText w:val="•"/>
      <w:rPr>
        <w:color w:val="3370ff"/>
      </w:rPr>
    </w:lvl>
  </w:abstractNum>
  <w:abstractNum w:abstractNumId="808870">
    <w:lvl>
      <w:numFmt w:val="bullet"/>
      <w:suff w:val="tab"/>
      <w:lvlText w:val="•"/>
      <w:rPr>
        <w:color w:val="3370ff"/>
      </w:rPr>
    </w:lvl>
  </w:abstractNum>
  <w:abstractNum w:abstractNumId="808871">
    <w:lvl>
      <w:numFmt w:val="bullet"/>
      <w:suff w:val="tab"/>
      <w:lvlText w:val="•"/>
      <w:rPr>
        <w:color w:val="3370ff"/>
      </w:rPr>
    </w:lvl>
  </w:abstractNum>
  <w:abstractNum w:abstractNumId="808872">
    <w:lvl>
      <w:numFmt w:val="bullet"/>
      <w:suff w:val="tab"/>
      <w:lvlText w:val="•"/>
      <w:rPr>
        <w:color w:val="3370ff"/>
      </w:rPr>
    </w:lvl>
  </w:abstractNum>
  <w:abstractNum w:abstractNumId="808873">
    <w:lvl>
      <w:numFmt w:val="bullet"/>
      <w:suff w:val="tab"/>
      <w:lvlText w:val="•"/>
      <w:rPr>
        <w:color w:val="3370ff"/>
      </w:rPr>
    </w:lvl>
  </w:abstractNum>
  <w:abstractNum w:abstractNumId="808874">
    <w:lvl>
      <w:numFmt w:val="bullet"/>
      <w:suff w:val="tab"/>
      <w:lvlText w:val="•"/>
      <w:rPr>
        <w:color w:val="3370ff"/>
      </w:rPr>
    </w:lvl>
  </w:abstractNum>
  <w:abstractNum w:abstractNumId="808875">
    <w:lvl>
      <w:numFmt w:val="bullet"/>
      <w:suff w:val="tab"/>
      <w:lvlText w:val="•"/>
      <w:rPr>
        <w:color w:val="3370ff"/>
      </w:rPr>
    </w:lvl>
  </w:abstractNum>
  <w:abstractNum w:abstractNumId="808876">
    <w:lvl>
      <w:numFmt w:val="bullet"/>
      <w:suff w:val="tab"/>
      <w:lvlText w:val="•"/>
      <w:rPr>
        <w:color w:val="3370ff"/>
      </w:rPr>
    </w:lvl>
  </w:abstractNum>
  <w:abstractNum w:abstractNumId="808877">
    <w:lvl>
      <w:numFmt w:val="bullet"/>
      <w:suff w:val="tab"/>
      <w:lvlText w:val="•"/>
      <w:rPr>
        <w:color w:val="3370ff"/>
      </w:rPr>
    </w:lvl>
  </w:abstractNum>
  <w:abstractNum w:abstractNumId="808878">
    <w:lvl>
      <w:numFmt w:val="bullet"/>
      <w:suff w:val="tab"/>
      <w:lvlText w:val="•"/>
      <w:rPr>
        <w:color w:val="3370ff"/>
      </w:rPr>
    </w:lvl>
  </w:abstractNum>
  <w:abstractNum w:abstractNumId="808879">
    <w:lvl>
      <w:numFmt w:val="bullet"/>
      <w:suff w:val="tab"/>
      <w:lvlText w:val="•"/>
      <w:rPr>
        <w:color w:val="3370ff"/>
      </w:rPr>
    </w:lvl>
  </w:abstractNum>
  <w:abstractNum w:abstractNumId="808880">
    <w:lvl>
      <w:numFmt w:val="bullet"/>
      <w:suff w:val="tab"/>
      <w:lvlText w:val="•"/>
      <w:rPr>
        <w:color w:val="3370ff"/>
      </w:rPr>
    </w:lvl>
  </w:abstractNum>
  <w:abstractNum w:abstractNumId="808881">
    <w:lvl>
      <w:numFmt w:val="bullet"/>
      <w:suff w:val="tab"/>
      <w:lvlText w:val="•"/>
      <w:rPr>
        <w:color w:val="3370ff"/>
      </w:rPr>
    </w:lvl>
  </w:abstractNum>
  <w:abstractNum w:abstractNumId="808882">
    <w:lvl>
      <w:numFmt w:val="bullet"/>
      <w:suff w:val="tab"/>
      <w:lvlText w:val="•"/>
      <w:rPr>
        <w:color w:val="3370ff"/>
      </w:rPr>
    </w:lvl>
  </w:abstractNum>
  <w:abstractNum w:abstractNumId="808883">
    <w:lvl>
      <w:numFmt w:val="bullet"/>
      <w:suff w:val="tab"/>
      <w:lvlText w:val="•"/>
      <w:rPr>
        <w:color w:val="3370ff"/>
      </w:rPr>
    </w:lvl>
  </w:abstractNum>
  <w:abstractNum w:abstractNumId="808884">
    <w:lvl>
      <w:numFmt w:val="bullet"/>
      <w:suff w:val="tab"/>
      <w:lvlText w:val="•"/>
      <w:rPr>
        <w:color w:val="3370ff"/>
      </w:rPr>
    </w:lvl>
  </w:abstractNum>
  <w:abstractNum w:abstractNumId="808885">
    <w:lvl>
      <w:numFmt w:val="bullet"/>
      <w:suff w:val="tab"/>
      <w:lvlText w:val="•"/>
      <w:rPr>
        <w:color w:val="3370ff"/>
      </w:rPr>
    </w:lvl>
  </w:abstractNum>
  <w:abstractNum w:abstractNumId="808886">
    <w:lvl>
      <w:numFmt w:val="bullet"/>
      <w:suff w:val="tab"/>
      <w:lvlText w:val="•"/>
      <w:rPr>
        <w:color w:val="3370ff"/>
      </w:rPr>
    </w:lvl>
  </w:abstractNum>
  <w:abstractNum w:abstractNumId="808887">
    <w:lvl>
      <w:numFmt w:val="bullet"/>
      <w:suff w:val="tab"/>
      <w:lvlText w:val="•"/>
      <w:rPr>
        <w:color w:val="3370ff"/>
      </w:rPr>
    </w:lvl>
  </w:abstractNum>
  <w:abstractNum w:abstractNumId="808888">
    <w:lvl>
      <w:numFmt w:val="bullet"/>
      <w:suff w:val="tab"/>
      <w:lvlText w:val="•"/>
      <w:rPr>
        <w:color w:val="3370ff"/>
      </w:rPr>
    </w:lvl>
  </w:abstractNum>
  <w:abstractNum w:abstractNumId="808889">
    <w:lvl>
      <w:start w:val="1"/>
      <w:numFmt w:val="decimal"/>
      <w:suff w:val="tab"/>
      <w:lvlText w:val="%1."/>
      <w:rPr>
        <w:color w:val="3370ff"/>
      </w:rPr>
    </w:lvl>
  </w:abstractNum>
  <w:abstractNum w:abstractNumId="808890">
    <w:lvl>
      <w:start w:val="2"/>
      <w:numFmt w:val="decimal"/>
      <w:suff w:val="tab"/>
      <w:lvlText w:val="%1."/>
      <w:rPr>
        <w:color w:val="3370ff"/>
      </w:rPr>
    </w:lvl>
  </w:abstractNum>
  <w:abstractNum w:abstractNumId="808891">
    <w:lvl>
      <w:start w:val="3"/>
      <w:numFmt w:val="decimal"/>
      <w:suff w:val="tab"/>
      <w:lvlText w:val="%1."/>
      <w:rPr>
        <w:color w:val="3370ff"/>
      </w:rPr>
    </w:lvl>
  </w:abstractNum>
  <w:abstractNum w:abstractNumId="808892">
    <w:lvl>
      <w:start w:val="4"/>
      <w:numFmt w:val="decimal"/>
      <w:suff w:val="tab"/>
      <w:lvlText w:val="%1."/>
      <w:rPr>
        <w:color w:val="3370ff"/>
      </w:rPr>
    </w:lvl>
  </w:abstractNum>
  <w:abstractNum w:abstractNumId="808893">
    <w:lvl>
      <w:start w:val="5"/>
      <w:numFmt w:val="decimal"/>
      <w:suff w:val="tab"/>
      <w:lvlText w:val="%1."/>
      <w:rPr>
        <w:color w:val="3370ff"/>
      </w:rPr>
    </w:lvl>
  </w:abstractNum>
  <w:abstractNum w:abstractNumId="808894">
    <w:lvl>
      <w:start w:val="6"/>
      <w:numFmt w:val="decimal"/>
      <w:suff w:val="tab"/>
      <w:lvlText w:val="%1."/>
      <w:rPr>
        <w:color w:val="3370ff"/>
      </w:rPr>
    </w:lvl>
  </w:abstractNum>
  <w:abstractNum w:abstractNumId="808895">
    <w:lvl>
      <w:start w:val="7"/>
      <w:numFmt w:val="decimal"/>
      <w:suff w:val="tab"/>
      <w:lvlText w:val="%1."/>
      <w:rPr>
        <w:color w:val="3370ff"/>
      </w:rPr>
    </w:lvl>
  </w:abstractNum>
  <w:abstractNum w:abstractNumId="808896">
    <w:lvl>
      <w:start w:val="1"/>
      <w:numFmt w:val="decimal"/>
      <w:suff w:val="tab"/>
      <w:lvlText w:val="%1."/>
      <w:rPr>
        <w:color w:val="3370ff"/>
      </w:rPr>
    </w:lvl>
  </w:abstractNum>
  <w:abstractNum w:abstractNumId="808897">
    <w:lvl>
      <w:start w:val="2"/>
      <w:numFmt w:val="decimal"/>
      <w:suff w:val="tab"/>
      <w:lvlText w:val="%1."/>
      <w:rPr>
        <w:color w:val="3370ff"/>
      </w:rPr>
    </w:lvl>
  </w:abstractNum>
  <w:abstractNum w:abstractNumId="808898">
    <w:lvl>
      <w:start w:val="3"/>
      <w:numFmt w:val="decimal"/>
      <w:suff w:val="tab"/>
      <w:lvlText w:val="%1."/>
      <w:rPr>
        <w:color w:val="3370ff"/>
      </w:rPr>
    </w:lvl>
  </w:abstractNum>
  <w:abstractNum w:abstractNumId="808899">
    <w:lvl>
      <w:start w:val="4"/>
      <w:numFmt w:val="decimal"/>
      <w:suff w:val="tab"/>
      <w:lvlText w:val="%1."/>
      <w:rPr>
        <w:color w:val="3370ff"/>
      </w:rPr>
    </w:lvl>
  </w:abstractNum>
  <w:num w:numId="1">
    <w:abstractNumId w:val="808756"/>
  </w:num>
  <w:num w:numId="2">
    <w:abstractNumId w:val="808757"/>
  </w:num>
  <w:num w:numId="3">
    <w:abstractNumId w:val="808758"/>
  </w:num>
  <w:num w:numId="4">
    <w:abstractNumId w:val="808759"/>
  </w:num>
  <w:num w:numId="5">
    <w:abstractNumId w:val="808760"/>
  </w:num>
  <w:num w:numId="6">
    <w:abstractNumId w:val="808761"/>
  </w:num>
  <w:num w:numId="7">
    <w:abstractNumId w:val="808762"/>
  </w:num>
  <w:num w:numId="8">
    <w:abstractNumId w:val="808763"/>
  </w:num>
  <w:num w:numId="9">
    <w:abstractNumId w:val="808764"/>
  </w:num>
  <w:num w:numId="10">
    <w:abstractNumId w:val="808765"/>
  </w:num>
  <w:num w:numId="11">
    <w:abstractNumId w:val="808766"/>
  </w:num>
  <w:num w:numId="12">
    <w:abstractNumId w:val="808767"/>
  </w:num>
  <w:num w:numId="13">
    <w:abstractNumId w:val="808768"/>
  </w:num>
  <w:num w:numId="14">
    <w:abstractNumId w:val="808769"/>
  </w:num>
  <w:num w:numId="15">
    <w:abstractNumId w:val="808770"/>
  </w:num>
  <w:num w:numId="16">
    <w:abstractNumId w:val="808771"/>
  </w:num>
  <w:num w:numId="17">
    <w:abstractNumId w:val="808772"/>
  </w:num>
  <w:num w:numId="18">
    <w:abstractNumId w:val="808773"/>
  </w:num>
  <w:num w:numId="19">
    <w:abstractNumId w:val="808774"/>
  </w:num>
  <w:num w:numId="20">
    <w:abstractNumId w:val="808775"/>
  </w:num>
  <w:num w:numId="21">
    <w:abstractNumId w:val="808776"/>
  </w:num>
  <w:num w:numId="22">
    <w:abstractNumId w:val="808777"/>
  </w:num>
  <w:num w:numId="23">
    <w:abstractNumId w:val="808778"/>
  </w:num>
  <w:num w:numId="24">
    <w:abstractNumId w:val="808779"/>
  </w:num>
  <w:num w:numId="25">
    <w:abstractNumId w:val="808780"/>
  </w:num>
  <w:num w:numId="26">
    <w:abstractNumId w:val="808781"/>
  </w:num>
  <w:num w:numId="27">
    <w:abstractNumId w:val="808782"/>
  </w:num>
  <w:num w:numId="28">
    <w:abstractNumId w:val="808783"/>
  </w:num>
  <w:num w:numId="29">
    <w:abstractNumId w:val="808784"/>
  </w:num>
  <w:num w:numId="30">
    <w:abstractNumId w:val="808785"/>
  </w:num>
  <w:num w:numId="31">
    <w:abstractNumId w:val="808786"/>
  </w:num>
  <w:num w:numId="32">
    <w:abstractNumId w:val="808787"/>
  </w:num>
  <w:num w:numId="33">
    <w:abstractNumId w:val="808788"/>
  </w:num>
  <w:num w:numId="34">
    <w:abstractNumId w:val="808789"/>
  </w:num>
  <w:num w:numId="35">
    <w:abstractNumId w:val="808790"/>
  </w:num>
  <w:num w:numId="36">
    <w:abstractNumId w:val="808791"/>
  </w:num>
  <w:num w:numId="37">
    <w:abstractNumId w:val="808792"/>
  </w:num>
  <w:num w:numId="38">
    <w:abstractNumId w:val="808793"/>
  </w:num>
  <w:num w:numId="39">
    <w:abstractNumId w:val="808794"/>
  </w:num>
  <w:num w:numId="40">
    <w:abstractNumId w:val="808795"/>
  </w:num>
  <w:num w:numId="41">
    <w:abstractNumId w:val="808796"/>
  </w:num>
  <w:num w:numId="42">
    <w:abstractNumId w:val="808797"/>
  </w:num>
  <w:num w:numId="43">
    <w:abstractNumId w:val="808798"/>
  </w:num>
  <w:num w:numId="44">
    <w:abstractNumId w:val="808799"/>
  </w:num>
  <w:num w:numId="45">
    <w:abstractNumId w:val="808800"/>
  </w:num>
  <w:num w:numId="46">
    <w:abstractNumId w:val="808801"/>
  </w:num>
  <w:num w:numId="47">
    <w:abstractNumId w:val="808802"/>
  </w:num>
  <w:num w:numId="48">
    <w:abstractNumId w:val="808803"/>
  </w:num>
  <w:num w:numId="49">
    <w:abstractNumId w:val="808804"/>
  </w:num>
  <w:num w:numId="50">
    <w:abstractNumId w:val="808805"/>
  </w:num>
  <w:num w:numId="51">
    <w:abstractNumId w:val="808806"/>
  </w:num>
  <w:num w:numId="52">
    <w:abstractNumId w:val="808807"/>
  </w:num>
  <w:num w:numId="53">
    <w:abstractNumId w:val="808808"/>
  </w:num>
  <w:num w:numId="54">
    <w:abstractNumId w:val="808809"/>
  </w:num>
  <w:num w:numId="55">
    <w:abstractNumId w:val="808810"/>
  </w:num>
  <w:num w:numId="56">
    <w:abstractNumId w:val="808811"/>
  </w:num>
  <w:num w:numId="57">
    <w:abstractNumId w:val="808812"/>
  </w:num>
  <w:num w:numId="58">
    <w:abstractNumId w:val="808813"/>
  </w:num>
  <w:num w:numId="59">
    <w:abstractNumId w:val="808814"/>
  </w:num>
  <w:num w:numId="60">
    <w:abstractNumId w:val="808815"/>
  </w:num>
  <w:num w:numId="61">
    <w:abstractNumId w:val="808816"/>
  </w:num>
  <w:num w:numId="62">
    <w:abstractNumId w:val="808817"/>
  </w:num>
  <w:num w:numId="63">
    <w:abstractNumId w:val="808818"/>
  </w:num>
  <w:num w:numId="64">
    <w:abstractNumId w:val="808819"/>
  </w:num>
  <w:num w:numId="65">
    <w:abstractNumId w:val="808820"/>
  </w:num>
  <w:num w:numId="66">
    <w:abstractNumId w:val="808821"/>
  </w:num>
  <w:num w:numId="67">
    <w:abstractNumId w:val="808822"/>
  </w:num>
  <w:num w:numId="68">
    <w:abstractNumId w:val="808823"/>
  </w:num>
  <w:num w:numId="69">
    <w:abstractNumId w:val="808824"/>
  </w:num>
  <w:num w:numId="70">
    <w:abstractNumId w:val="808825"/>
  </w:num>
  <w:num w:numId="71">
    <w:abstractNumId w:val="808826"/>
  </w:num>
  <w:num w:numId="72">
    <w:abstractNumId w:val="808827"/>
  </w:num>
  <w:num w:numId="73">
    <w:abstractNumId w:val="808828"/>
  </w:num>
  <w:num w:numId="74">
    <w:abstractNumId w:val="808829"/>
  </w:num>
  <w:num w:numId="75">
    <w:abstractNumId w:val="808830"/>
  </w:num>
  <w:num w:numId="76">
    <w:abstractNumId w:val="808831"/>
  </w:num>
  <w:num w:numId="77">
    <w:abstractNumId w:val="808832"/>
  </w:num>
  <w:num w:numId="78">
    <w:abstractNumId w:val="808833"/>
  </w:num>
  <w:num w:numId="79">
    <w:abstractNumId w:val="808834"/>
  </w:num>
  <w:num w:numId="80">
    <w:abstractNumId w:val="808835"/>
  </w:num>
  <w:num w:numId="81">
    <w:abstractNumId w:val="808836"/>
  </w:num>
  <w:num w:numId="82">
    <w:abstractNumId w:val="808837"/>
  </w:num>
  <w:num w:numId="83">
    <w:abstractNumId w:val="808838"/>
  </w:num>
  <w:num w:numId="84">
    <w:abstractNumId w:val="808839"/>
  </w:num>
  <w:num w:numId="85">
    <w:abstractNumId w:val="808840"/>
  </w:num>
  <w:num w:numId="86">
    <w:abstractNumId w:val="808841"/>
  </w:num>
  <w:num w:numId="87">
    <w:abstractNumId w:val="808842"/>
  </w:num>
  <w:num w:numId="88">
    <w:abstractNumId w:val="808843"/>
  </w:num>
  <w:num w:numId="89">
    <w:abstractNumId w:val="808844"/>
  </w:num>
  <w:num w:numId="90">
    <w:abstractNumId w:val="808845"/>
  </w:num>
  <w:num w:numId="91">
    <w:abstractNumId w:val="808846"/>
  </w:num>
  <w:num w:numId="92">
    <w:abstractNumId w:val="808847"/>
  </w:num>
  <w:num w:numId="93">
    <w:abstractNumId w:val="808848"/>
  </w:num>
  <w:num w:numId="94">
    <w:abstractNumId w:val="808849"/>
  </w:num>
  <w:num w:numId="95">
    <w:abstractNumId w:val="808850"/>
  </w:num>
  <w:num w:numId="96">
    <w:abstractNumId w:val="808851"/>
  </w:num>
  <w:num w:numId="97">
    <w:abstractNumId w:val="808852"/>
  </w:num>
  <w:num w:numId="98">
    <w:abstractNumId w:val="808853"/>
  </w:num>
  <w:num w:numId="99">
    <w:abstractNumId w:val="808854"/>
  </w:num>
  <w:num w:numId="100">
    <w:abstractNumId w:val="808855"/>
  </w:num>
  <w:num w:numId="101">
    <w:abstractNumId w:val="808856"/>
  </w:num>
  <w:num w:numId="102">
    <w:abstractNumId w:val="808857"/>
  </w:num>
  <w:num w:numId="103">
    <w:abstractNumId w:val="808858"/>
  </w:num>
  <w:num w:numId="104">
    <w:abstractNumId w:val="808859"/>
  </w:num>
  <w:num w:numId="105">
    <w:abstractNumId w:val="808860"/>
  </w:num>
  <w:num w:numId="106">
    <w:abstractNumId w:val="808861"/>
  </w:num>
  <w:num w:numId="107">
    <w:abstractNumId w:val="808862"/>
  </w:num>
  <w:num w:numId="108">
    <w:abstractNumId w:val="808863"/>
  </w:num>
  <w:num w:numId="109">
    <w:abstractNumId w:val="808864"/>
  </w:num>
  <w:num w:numId="110">
    <w:abstractNumId w:val="808865"/>
  </w:num>
  <w:num w:numId="111">
    <w:abstractNumId w:val="808866"/>
  </w:num>
  <w:num w:numId="112">
    <w:abstractNumId w:val="808867"/>
  </w:num>
  <w:num w:numId="113">
    <w:abstractNumId w:val="808868"/>
  </w:num>
  <w:num w:numId="114">
    <w:abstractNumId w:val="808869"/>
  </w:num>
  <w:num w:numId="115">
    <w:abstractNumId w:val="808870"/>
  </w:num>
  <w:num w:numId="116">
    <w:abstractNumId w:val="808871"/>
  </w:num>
  <w:num w:numId="117">
    <w:abstractNumId w:val="808872"/>
  </w:num>
  <w:num w:numId="118">
    <w:abstractNumId w:val="808873"/>
  </w:num>
  <w:num w:numId="119">
    <w:abstractNumId w:val="808874"/>
  </w:num>
  <w:num w:numId="120">
    <w:abstractNumId w:val="808875"/>
  </w:num>
  <w:num w:numId="121">
    <w:abstractNumId w:val="808876"/>
  </w:num>
  <w:num w:numId="122">
    <w:abstractNumId w:val="808877"/>
  </w:num>
  <w:num w:numId="123">
    <w:abstractNumId w:val="808878"/>
  </w:num>
  <w:num w:numId="124">
    <w:abstractNumId w:val="808879"/>
  </w:num>
  <w:num w:numId="125">
    <w:abstractNumId w:val="808880"/>
  </w:num>
  <w:num w:numId="126">
    <w:abstractNumId w:val="808881"/>
  </w:num>
  <w:num w:numId="127">
    <w:abstractNumId w:val="808882"/>
  </w:num>
  <w:num w:numId="128">
    <w:abstractNumId w:val="808883"/>
  </w:num>
  <w:num w:numId="129">
    <w:abstractNumId w:val="808884"/>
  </w:num>
  <w:num w:numId="130">
    <w:abstractNumId w:val="808885"/>
  </w:num>
  <w:num w:numId="131">
    <w:abstractNumId w:val="808886"/>
  </w:num>
  <w:num w:numId="132">
    <w:abstractNumId w:val="808887"/>
  </w:num>
  <w:num w:numId="133">
    <w:abstractNumId w:val="808888"/>
  </w:num>
  <w:num w:numId="134">
    <w:abstractNumId w:val="808889"/>
  </w:num>
  <w:num w:numId="135">
    <w:abstractNumId w:val="808890"/>
  </w:num>
  <w:num w:numId="136">
    <w:abstractNumId w:val="808891"/>
  </w:num>
  <w:num w:numId="137">
    <w:abstractNumId w:val="808892"/>
  </w:num>
  <w:num w:numId="138">
    <w:abstractNumId w:val="808893"/>
  </w:num>
  <w:num w:numId="139">
    <w:abstractNumId w:val="808894"/>
  </w:num>
  <w:num w:numId="140">
    <w:abstractNumId w:val="808895"/>
  </w:num>
  <w:num w:numId="141">
    <w:abstractNumId w:val="808896"/>
  </w:num>
  <w:num w:numId="142">
    <w:abstractNumId w:val="808897"/>
  </w:num>
  <w:num w:numId="143">
    <w:abstractNumId w:val="808898"/>
  </w:num>
  <w:num w:numId="144">
    <w:abstractNumId w:val="80889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 Type="http://schemas.openxmlformats.org/officeDocument/2006/relationships/styles" Target="styles.xml"/><Relationship Id="rId20" Type="http://schemas.openxmlformats.org/officeDocument/2006/relationships/image" Target="media/image16.png"/><Relationship Id="rId21"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2026-08-25T07:07:06Z</dcterms:created>
  <dc:creator>Apache POI</dc:creator>
  <dc:title>临床决策 App 竞品分析（精简版）</dc:title>
  <dc:subject>按 Step 事实—五章结论—九章行动的单一归属规则精简</dc:subject>
</cp:coreProperties>
</file>