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color w:val="1F4D78"/>
          <w:sz w:val="48"/>
        </w:rPr>
        <w:t>ALK阳性肺腺鳞癌全程管理</w:t>
      </w:r>
    </w:p>
    <w:p>
      <w:pPr>
        <w:spacing w:after="360"/>
      </w:pPr>
      <w:r>
        <w:rPr>
          <w:rFonts w:ascii="Calibri" w:hAnsi="Calibri" w:eastAsia="Microsoft YaHei"/>
          <w:color w:val="667085"/>
          <w:sz w:val="22"/>
        </w:rPr>
        <w:t>五道单选题预览稿  ·  进阶难度  ·  内部审阅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病例摘要</w:t>
            </w:r>
          </w:p>
          <w:p>
            <w:pPr>
              <w:spacing w:after="0" w:line="300" w:lineRule="auto"/>
            </w:pPr>
            <w:r>
              <w:t>57岁女性，初诊左肺下叶占位，临床分期cT2N1M0、IIB期。支气管镜有限活检示少量非小细胞癌伴坏死，形态及免疫组化倾向鳞状细胞癌；因组织量有限，未完成常规驱动基因检测。两周期术前化疗联合免疫治疗后原发灶增大，再次活检确诊肺腺鳞癌并检出ALK融合。患者接受阿来替尼后病灶及肺门淋巴结缩小、阻塞性肺不张复张，经MDT评估后接受左下肺叶切除及淋巴结清扫。术后继续阿来替尼。2024年12月颅脑MRI发现右侧颞叶新发约1.1cm环形强化灶，考虑转移可能性大；同期评估肺部控制良好、无系统进展，考虑中枢单灶进展，经MDT讨论后行射波刀并继续阿来替尼。</w:t>
            </w:r>
          </w:p>
        </w:tc>
      </w:tr>
    </w:tbl>
    <w:p>
      <w:pPr>
        <w:spacing w:before="200" w:after="0"/>
      </w:pPr>
      <w:r>
        <w:rPr>
          <w:rFonts w:ascii="Calibri" w:hAnsi="Calibri" w:eastAsia="Microsoft YaHei"/>
          <w:b/>
          <w:color w:val="1F4D78"/>
          <w:sz w:val="20"/>
        </w:rPr>
        <w:t>审阅说明：</w:t>
      </w:r>
      <w:r>
        <w:rPr>
          <w:rFonts w:ascii="Calibri" w:hAnsi="Calibri" w:eastAsia="Microsoft YaHei"/>
          <w:color w:val="667085"/>
          <w:sz w:val="20"/>
        </w:rPr>
        <w:t>正文仅展示题干与选项；答案和证据定位集中放在文末，便于先独立判断题目质量。</w:t>
      </w:r>
    </w:p>
    <w:p>
      <w:pPr>
        <w:pStyle w:val="Heading1"/>
        <w:pageBreakBefore/>
      </w:pPr>
      <w:r>
        <w:t>Q1｜有限活检标本的管理原则</w:t>
      </w:r>
    </w:p>
    <w:p>
      <w:pPr>
        <w:pStyle w:val="QuestionMeta"/>
      </w:pPr>
      <w:r>
        <w:t>能力维度：分子诊断    阶段：初诊有限活检阶段</w:t>
        <w:br/>
        <w:t>时间点：2023-08-31，支气管镜活检标本进行病理评估时</w:t>
      </w:r>
    </w:p>
    <w:p>
      <w:pPr>
        <w:pStyle w:val="QuestionStem"/>
      </w:pPr>
      <w:r>
        <w:t>患者初诊支气管镜活检仅获得少量非小细胞癌组织并伴坏死，组织量有限，后续未能完成常规驱动基因检测。按照当前肺癌诊疗指南复盘，此类活检标本在病理诊断过程中最应遵循的标本管理原则是什么？</w:t>
      </w:r>
    </w:p>
    <w:p>
      <w:pPr>
        <w:spacing w:after="80" w:line="300" w:lineRule="auto"/>
        <w:numPr>
          <w:ilvl w:val="0"/>
          <w:numId w:val="10"/>
        </w:numPr>
      </w:pPr>
      <w:r>
        <w:t>先将全部标本用于形态学和免疫组化分型，分子检测可待复发后再考虑</w:t>
      </w:r>
    </w:p>
    <w:p>
      <w:pPr>
        <w:spacing w:after="80" w:line="300" w:lineRule="auto"/>
        <w:numPr>
          <w:ilvl w:val="0"/>
          <w:numId w:val="10"/>
        </w:numPr>
      </w:pPr>
      <w:r>
        <w:t>在完成病理诊断的同时，尽可能保留足够标本用于分子生物学和免疫治疗相关检测</w:t>
      </w:r>
    </w:p>
    <w:p>
      <w:pPr>
        <w:spacing w:after="80" w:line="300" w:lineRule="auto"/>
        <w:numPr>
          <w:ilvl w:val="0"/>
          <w:numId w:val="10"/>
        </w:numPr>
      </w:pPr>
      <w:r>
        <w:t>组织量有限时只需进行PD-L1检测，无需预留驱动基因检测标本</w:t>
      </w:r>
    </w:p>
    <w:p>
      <w:pPr>
        <w:spacing w:after="80" w:line="300" w:lineRule="auto"/>
        <w:numPr>
          <w:ilvl w:val="0"/>
          <w:numId w:val="10"/>
        </w:numPr>
      </w:pPr>
      <w:r>
        <w:t>只有确诊为晚期非鳞状NSCLC后，才需要考虑预留分子检测标本</w:t>
      </w:r>
    </w:p>
    <w:p>
      <w:pPr>
        <w:spacing w:before="280" w:after="0"/>
      </w:pPr>
      <w:r>
        <w:rPr>
          <w:rFonts w:ascii="Calibri" w:hAnsi="Calibri" w:eastAsia="Microsoft YaHei"/>
          <w:b/>
          <w:color w:val="667085"/>
          <w:sz w:val="19"/>
        </w:rPr>
        <w:t>审阅记录：</w:t>
      </w:r>
      <w:r>
        <w:rPr>
          <w:rFonts w:ascii="Calibri" w:hAnsi="Calibri" w:eastAsia="Microsoft YaHei"/>
          <w:color w:val="667085"/>
          <w:sz w:val="19"/>
        </w:rPr>
        <w:t xml:space="preserve">  □题干清楚  □选项唯一  □难度合适  □证据匹配</w:t>
      </w:r>
    </w:p>
    <w:p>
      <w:pPr>
        <w:pStyle w:val="Heading1"/>
        <w:pageBreakBefore/>
      </w:pPr>
      <w:r>
        <w:t>Q2｜腺鳞癌的分子检测资格</w:t>
      </w:r>
    </w:p>
    <w:p>
      <w:pPr>
        <w:pStyle w:val="QuestionMeta"/>
      </w:pPr>
      <w:r>
        <w:t>能力维度：分子诊断    阶段：再次活检与组织学重分类阶段</w:t>
        <w:br/>
        <w:t>时间点：2023年12月，再次活检确诊肺腺鳞癌后</w:t>
      </w:r>
    </w:p>
    <w:p>
      <w:pPr>
        <w:pStyle w:val="QuestionStem"/>
      </w:pPr>
      <w:r>
        <w:t>再次活检将患者的组织学诊断修正为肺腺鳞癌，后续手术标本也显示以鳞癌为主并含约10%腺癌成分。关于此类含腺癌成分NSCLC的分子检测资格，哪项最符合正式指南？</w:t>
      </w:r>
    </w:p>
    <w:p>
      <w:pPr>
        <w:spacing w:after="80" w:line="300" w:lineRule="auto"/>
        <w:numPr>
          <w:ilvl w:val="0"/>
          <w:numId w:val="11"/>
        </w:numPr>
      </w:pPr>
      <w:r>
        <w:t>只要鳞癌成分占优势，就不再需要进行驱动基因检测</w:t>
      </w:r>
    </w:p>
    <w:p>
      <w:pPr>
        <w:spacing w:after="80" w:line="300" w:lineRule="auto"/>
        <w:numPr>
          <w:ilvl w:val="0"/>
          <w:numId w:val="11"/>
        </w:numPr>
      </w:pPr>
      <w:r>
        <w:t>所有含腺癌成分的NSCLC，无论其他临床特征如何，均建议常规进行分子检测</w:t>
      </w:r>
    </w:p>
    <w:p>
      <w:pPr>
        <w:spacing w:after="80" w:line="300" w:lineRule="auto"/>
        <w:numPr>
          <w:ilvl w:val="0"/>
          <w:numId w:val="11"/>
        </w:numPr>
      </w:pPr>
      <w:r>
        <w:t>只有出现远处转移后，含腺癌成分的NSCLC才需要进行分子检测</w:t>
      </w:r>
    </w:p>
    <w:p>
      <w:pPr>
        <w:spacing w:after="80" w:line="300" w:lineRule="auto"/>
        <w:numPr>
          <w:ilvl w:val="0"/>
          <w:numId w:val="11"/>
        </w:numPr>
      </w:pPr>
      <w:r>
        <w:t>含腺癌成分的NSCLC只需检测EGFR，不需要检测ALK等其他驱动基因</w:t>
      </w:r>
    </w:p>
    <w:p>
      <w:pPr>
        <w:spacing w:before="280" w:after="0"/>
      </w:pPr>
      <w:r>
        <w:rPr>
          <w:rFonts w:ascii="Calibri" w:hAnsi="Calibri" w:eastAsia="Microsoft YaHei"/>
          <w:b/>
          <w:color w:val="667085"/>
          <w:sz w:val="19"/>
        </w:rPr>
        <w:t>审阅记录：</w:t>
      </w:r>
      <w:r>
        <w:rPr>
          <w:rFonts w:ascii="Calibri" w:hAnsi="Calibri" w:eastAsia="Microsoft YaHei"/>
          <w:color w:val="667085"/>
          <w:sz w:val="19"/>
        </w:rPr>
        <w:t xml:space="preserve">  □题干清楚  □选项唯一  □难度合适  □证据匹配</w:t>
      </w:r>
    </w:p>
    <w:p>
      <w:pPr>
        <w:pStyle w:val="Heading1"/>
        <w:pageBreakBefore/>
      </w:pPr>
      <w:r>
        <w:t>Q3｜新辅助ALK-TKI研究证据的适用边界</w:t>
      </w:r>
    </w:p>
    <w:p>
      <w:pPr>
        <w:pStyle w:val="QuestionMeta"/>
      </w:pPr>
      <w:r>
        <w:t>能力维度：治疗决策    阶段：ALK-TKI转化治疗与术前复评阶段</w:t>
        <w:br/>
        <w:t>时间点：2024-05-22，阿来替尼治疗后病灶缩小、准备评估手术机会时</w:t>
      </w:r>
    </w:p>
    <w:p>
      <w:pPr>
        <w:pStyle w:val="QuestionStem"/>
      </w:pPr>
      <w:r>
        <w:t>患者明确ALK融合阳性后接受阿来替尼，随后影像显示肿块和肺门淋巴结缩小、阻塞性肺不张复张，并进入手术评估。结合已经检索到的原始临床研究，关于ALK阳性可切除或潜在可切除NSCLC术前应用ALK-TKI的证据边界，哪项表述最严谨？</w:t>
      </w:r>
    </w:p>
    <w:p>
      <w:pPr>
        <w:spacing w:after="80" w:line="300" w:lineRule="auto"/>
        <w:numPr>
          <w:ilvl w:val="0"/>
          <w:numId w:val="12"/>
        </w:numPr>
      </w:pPr>
      <w:r>
        <w:t>该研究已经证明阿来替尼是免疫化疗失败后IIB期肺腺鳞癌的标准转化治疗</w:t>
      </w:r>
    </w:p>
    <w:p>
      <w:pPr>
        <w:spacing w:after="80" w:line="300" w:lineRule="auto"/>
        <w:numPr>
          <w:ilvl w:val="0"/>
          <w:numId w:val="12"/>
        </w:numPr>
      </w:pPr>
      <w:r>
        <w:t>研究中的客观缓解率较高，因此影像缩小本身即可决定立即手术，无需个体化评估</w:t>
      </w:r>
    </w:p>
    <w:p>
      <w:pPr>
        <w:spacing w:after="80" w:line="300" w:lineRule="auto"/>
        <w:numPr>
          <w:ilvl w:val="0"/>
          <w:numId w:val="12"/>
        </w:numPr>
      </w:pPr>
      <w:r>
        <w:t>一项12例回顾性研究显示新辅助ALK-TKI具有较高影像和病理缓解率，提示具有临床活性与可行性，但不足以单独确立标准方案或决定个体手术时机</w:t>
      </w:r>
    </w:p>
    <w:p>
      <w:pPr>
        <w:spacing w:after="80" w:line="300" w:lineRule="auto"/>
        <w:numPr>
          <w:ilvl w:val="0"/>
          <w:numId w:val="12"/>
        </w:numPr>
      </w:pPr>
      <w:r>
        <w:t>该研究是一项阿来替尼对比含铂化疗的随机III期试验，已证实新辅助ALK-TKI的生存优势</w:t>
      </w:r>
    </w:p>
    <w:p>
      <w:pPr>
        <w:spacing w:before="280" w:after="0"/>
      </w:pPr>
      <w:r>
        <w:rPr>
          <w:rFonts w:ascii="Calibri" w:hAnsi="Calibri" w:eastAsia="Microsoft YaHei"/>
          <w:b/>
          <w:color w:val="667085"/>
          <w:sz w:val="19"/>
        </w:rPr>
        <w:t>审阅记录：</w:t>
      </w:r>
      <w:r>
        <w:rPr>
          <w:rFonts w:ascii="Calibri" w:hAnsi="Calibri" w:eastAsia="Microsoft YaHei"/>
          <w:color w:val="667085"/>
          <w:sz w:val="19"/>
        </w:rPr>
        <w:t xml:space="preserve">  □题干清楚  □选项唯一  □难度合适  □证据匹配</w:t>
      </w:r>
    </w:p>
    <w:p>
      <w:pPr>
        <w:pStyle w:val="Heading1"/>
        <w:pageBreakBefore/>
      </w:pPr>
      <w:r>
        <w:t>Q4｜术后ALK结果的临床定位</w:t>
      </w:r>
    </w:p>
    <w:p>
      <w:pPr>
        <w:pStyle w:val="QuestionMeta"/>
      </w:pPr>
      <w:r>
        <w:t>能力维度：治疗决策    阶段：术后辅助治疗决策阶段</w:t>
        <w:br/>
        <w:t>时间点：2024-05-23，左下肺叶切除术后病理评估时</w:t>
      </w:r>
    </w:p>
    <w:p>
      <w:pPr>
        <w:pStyle w:val="QuestionStem"/>
      </w:pPr>
      <w:r>
        <w:t>患者术后病理记录为IB期，既往PCR已检出ALK融合，术后标本ALK(D5F3)亦为阳性。按照CACA肺癌指南复盘，关于这一ALK结果在术后管理中的定位，哪项最准确？</w:t>
      </w:r>
    </w:p>
    <w:p>
      <w:pPr>
        <w:spacing w:after="80" w:line="300" w:lineRule="auto"/>
        <w:numPr>
          <w:ilvl w:val="0"/>
          <w:numId w:val="13"/>
        </w:numPr>
      </w:pPr>
      <w:r>
        <w:t>ALK融合状态只在晚期或复发转移后有意义，术后无需纳入管理决策</w:t>
      </w:r>
    </w:p>
    <w:p>
      <w:pPr>
        <w:spacing w:after="80" w:line="300" w:lineRule="auto"/>
        <w:numPr>
          <w:ilvl w:val="0"/>
          <w:numId w:val="13"/>
        </w:numPr>
      </w:pPr>
      <w:r>
        <w:t>术后IB至IIIA期NSCLC的ALK融合检测结果用于指导辅助靶向治疗决策</w:t>
      </w:r>
    </w:p>
    <w:p>
      <w:pPr>
        <w:spacing w:after="80" w:line="300" w:lineRule="auto"/>
        <w:numPr>
          <w:ilvl w:val="0"/>
          <w:numId w:val="13"/>
        </w:numPr>
      </w:pPr>
      <w:r>
        <w:t>ALK阳性可以直接证明患者必须按固定疗程接受阿来替尼，无需考虑其他临床因素</w:t>
      </w:r>
    </w:p>
    <w:p>
      <w:pPr>
        <w:spacing w:after="80" w:line="300" w:lineRule="auto"/>
        <w:numPr>
          <w:ilvl w:val="0"/>
          <w:numId w:val="13"/>
        </w:numPr>
      </w:pPr>
      <w:r>
        <w:t>术后辅助治疗只需依据PD-L1结果，ALK融合状态不能提供决策信息</w:t>
      </w:r>
    </w:p>
    <w:p>
      <w:pPr>
        <w:spacing w:before="280" w:after="0"/>
      </w:pPr>
      <w:r>
        <w:rPr>
          <w:rFonts w:ascii="Calibri" w:hAnsi="Calibri" w:eastAsia="Microsoft YaHei"/>
          <w:b/>
          <w:color w:val="667085"/>
          <w:sz w:val="19"/>
        </w:rPr>
        <w:t>审阅记录：</w:t>
      </w:r>
      <w:r>
        <w:rPr>
          <w:rFonts w:ascii="Calibri" w:hAnsi="Calibri" w:eastAsia="Microsoft YaHei"/>
          <w:color w:val="667085"/>
          <w:sz w:val="19"/>
        </w:rPr>
        <w:t xml:space="preserve">  □题干清楚  □选项唯一  □难度合适  □证据匹配</w:t>
      </w:r>
    </w:p>
    <w:p>
      <w:pPr>
        <w:pStyle w:val="Heading1"/>
        <w:pageBreakBefore/>
      </w:pPr>
      <w:r>
        <w:t>Q5｜ALK-TKI期间中枢单灶进展的管理</w:t>
      </w:r>
    </w:p>
    <w:p>
      <w:pPr>
        <w:pStyle w:val="QuestionMeta"/>
      </w:pPr>
      <w:r>
        <w:t>能力维度：耐药与后线管理    阶段：靶向治疗期间中枢单灶进展阶段</w:t>
        <w:br/>
        <w:t>时间点：当前教学复盘：回顾2024-12-16颅脑新发病灶的处理时点</w:t>
      </w:r>
    </w:p>
    <w:p>
      <w:pPr>
        <w:pStyle w:val="QuestionStem"/>
      </w:pPr>
      <w:r>
        <w:t>患者阿来替尼治疗期间颅脑MRI发现右侧颞叶新发约1.1cm环形强化灶，考虑转移可能性大；同期胸部肿瘤内科评估肺部控制良好、无系统进展，考虑中枢单灶进展。若按ALK-TKI治疗期间CNS进展进行当前教学复盘，最符合CSCO指南的管理策略是什么？</w:t>
      </w:r>
    </w:p>
    <w:p>
      <w:pPr>
        <w:spacing w:after="80" w:line="300" w:lineRule="auto"/>
        <w:numPr>
          <w:ilvl w:val="0"/>
          <w:numId w:val="14"/>
        </w:numPr>
      </w:pPr>
      <w:r>
        <w:t>继续原ALK-TKI并联合适当的局部治疗</w:t>
      </w:r>
    </w:p>
    <w:p>
      <w:pPr>
        <w:spacing w:after="80" w:line="300" w:lineRule="auto"/>
        <w:numPr>
          <w:ilvl w:val="0"/>
          <w:numId w:val="14"/>
        </w:numPr>
      </w:pPr>
      <w:r>
        <w:t>立即停用原ALK-TKI并常规更换为洛拉替尼，不再进行局部治疗</w:t>
      </w:r>
    </w:p>
    <w:p>
      <w:pPr>
        <w:spacing w:after="80" w:line="300" w:lineRule="auto"/>
        <w:numPr>
          <w:ilvl w:val="0"/>
          <w:numId w:val="14"/>
        </w:numPr>
      </w:pPr>
      <w:r>
        <w:t>立即停用所有系统治疗并进行全脑放疗</w:t>
      </w:r>
    </w:p>
    <w:p>
      <w:pPr>
        <w:spacing w:after="80" w:line="300" w:lineRule="auto"/>
        <w:numPr>
          <w:ilvl w:val="0"/>
          <w:numId w:val="14"/>
        </w:numPr>
      </w:pPr>
      <w:r>
        <w:t>继续原ALK-TKI单药观察，不对已出现的中枢病灶进行局部处理</w:t>
      </w:r>
    </w:p>
    <w:p>
      <w:pPr>
        <w:spacing w:before="280" w:after="0"/>
      </w:pPr>
      <w:r>
        <w:rPr>
          <w:rFonts w:ascii="Calibri" w:hAnsi="Calibri" w:eastAsia="Microsoft YaHei"/>
          <w:b/>
          <w:color w:val="667085"/>
          <w:sz w:val="19"/>
        </w:rPr>
        <w:t>审阅记录：</w:t>
      </w:r>
      <w:r>
        <w:rPr>
          <w:rFonts w:ascii="Calibri" w:hAnsi="Calibri" w:eastAsia="Microsoft YaHei"/>
          <w:color w:val="667085"/>
          <w:sz w:val="19"/>
        </w:rPr>
        <w:t xml:space="preserve">  □题干清楚  □选项唯一  □难度合适  □证据匹配</w:t>
      </w:r>
    </w:p>
    <w:p>
      <w:pPr>
        <w:pStyle w:val="Heading1"/>
        <w:pageBreakBefore/>
      </w:pPr>
      <w:r>
        <w:t>答案与证据定位</w:t>
      </w:r>
    </w:p>
    <w:p>
      <w:pPr>
        <w:spacing w:after="200"/>
      </w:pPr>
      <w:r>
        <w:rPr>
          <w:rFonts w:ascii="Calibri" w:hAnsi="Calibri" w:eastAsia="Microsoft YaHei"/>
          <w:i/>
          <w:color w:val="667085"/>
          <w:sz w:val="20"/>
        </w:rPr>
        <w:t>本页供审阅核对使用，不建议在正式答题界面中与题目同时展示。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720"/>
        <w:gridCol w:w="4260"/>
        <w:gridCol w:w="3660"/>
      </w:tblGrid>
      <w:tr>
        <w:trPr>
          <w:tblHeader w:val="true"/>
        </w:trPr>
        <w:tc>
          <w:tcPr>
            <w:tcW w:type="dxa" w:w="72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题号</w:t>
            </w:r>
          </w:p>
        </w:tc>
        <w:tc>
          <w:tcPr>
            <w:tcW w:type="dxa" w:w="72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答案</w:t>
            </w:r>
          </w:p>
        </w:tc>
        <w:tc>
          <w:tcPr>
            <w:tcW w:type="dxa" w:w="42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正确选项</w:t>
            </w:r>
          </w:p>
        </w:tc>
        <w:tc>
          <w:tcPr>
            <w:tcW w:type="dxa" w:w="36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主要证据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Q1</w:t>
            </w:r>
          </w:p>
        </w:tc>
        <w:tc>
          <w:tcPr>
            <w:tcW w:type="dxa" w:w="7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B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在完成病理诊断的同时，尽可能保留足够标本用于分子生物学和免疫治疗相关检测</w:t>
            </w:r>
          </w:p>
        </w:tc>
        <w:tc>
          <w:tcPr>
            <w:tcW w:type="dxa" w:w="3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中华医学会肺癌临床诊疗指南(2025版)，doc_id 0e599051…，split 49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Q2</w:t>
            </w:r>
          </w:p>
        </w:tc>
        <w:tc>
          <w:tcPr>
            <w:tcW w:type="dxa" w:w="7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B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所有含腺癌成分的NSCLC，无论其他临床特征如何，均建议常规进行分子检测</w:t>
            </w:r>
          </w:p>
        </w:tc>
        <w:tc>
          <w:tcPr>
            <w:tcW w:type="dxa" w:w="3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中国非小细胞肺癌放射治疗临床指南（2020版），doc_id cbed173d…，split 8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Q3</w:t>
            </w:r>
          </w:p>
        </w:tc>
        <w:tc>
          <w:tcPr>
            <w:tcW w:type="dxa" w:w="7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C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一项12例回顾性研究显示新辅助ALK-TKI具有较高影像和病理缓解率，提示具有临床活性与可行性，但不足以单独确立标准方案或决定个体手术时机</w:t>
            </w:r>
          </w:p>
        </w:tc>
        <w:tc>
          <w:tcPr>
            <w:tcW w:type="dxa" w:w="3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Targeted Oncology（2023），doc_id b8ababb7…，split 1；ORR 91.7%，MPR 75.0%，pCR 58.3%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Q4</w:t>
            </w:r>
          </w:p>
        </w:tc>
        <w:tc>
          <w:tcPr>
            <w:tcW w:type="dxa" w:w="7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B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术后IB至IIIA期NSCLC的ALK融合检测结果用于指导辅助靶向治疗决策</w:t>
            </w:r>
          </w:p>
        </w:tc>
        <w:tc>
          <w:tcPr>
            <w:tcW w:type="dxa" w:w="3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CACA《肺癌》（2024），doc_id fd357ad4…，split 20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Q5</w:t>
            </w:r>
          </w:p>
        </w:tc>
        <w:tc>
          <w:tcPr>
            <w:tcW w:type="dxa" w:w="7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A</w:t>
            </w:r>
          </w:p>
        </w:tc>
        <w:tc>
          <w:tcPr>
            <w:tcW w:type="dxa" w:w="42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继续原ALK-TKI并联合适当的局部治疗</w:t>
            </w:r>
          </w:p>
        </w:tc>
        <w:tc>
          <w:tcPr>
            <w:tcW w:type="dxa" w:w="3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CSCO非小细胞肺癌诊疗指南2026，doc_id 065ff4dc…，split 181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内部审阅稿  ·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8"/>
      </w:rPr>
      <w:t>肿瘤大查房题目预览｜ALK阳性肺腺鳞癌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upperLetter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Meta">
    <w:name w:val="Question Meta"/>
    <w:pPr>
      <w:keepNext/>
      <w:spacing w:before="0" w:after="160" w:line="276" w:lineRule="auto"/>
    </w:pPr>
    <w:rPr>
      <w:rFonts w:ascii="Calibri" w:hAnsi="Calibri" w:eastAsia="Microsoft YaHei"/>
      <w:color w:val="667085"/>
      <w:sz w:val="19"/>
    </w:rPr>
  </w:style>
  <w:style w:type="paragraph" w:customStyle="1" w:styleId="QuestionStem">
    <w:name w:val="Question Stem"/>
    <w:pPr>
      <w:keepNext/>
      <w:spacing w:before="80" w:after="200" w:line="312" w:lineRule="auto"/>
    </w:pPr>
    <w:rPr>
      <w:rFonts w:ascii="Calibri" w:hAnsi="Calibri" w:eastAsia="Microsoft YaHei"/>
      <w:b/>
      <w:color w:val="1F2937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ALK阳性肺腺鳞癌全程管理五道题预览稿</dc:title>
  <dc:subject>肿瘤大查房题目与选项审阅</dc:subject>
  <dc:creator/>
  <cp:keywords>ALK, 肺腺鳞癌, 肿瘤大查房, 单选题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