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 w:eastAsia="Microsoft YaHei"/>
          <w:b/>
          <w:color w:val="2E74B5"/>
          <w:sz w:val="20"/>
        </w:rPr>
        <w:t>ONCOROUNDS · SOURCE HANDOFF</w:t>
      </w:r>
    </w:p>
    <w:p>
      <w:pPr>
        <w:spacing w:after="100"/>
      </w:pPr>
      <w:r>
        <w:rPr>
          <w:rFonts w:ascii="Calibri" w:hAnsi="Calibri" w:eastAsia="Microsoft YaHei"/>
          <w:b/>
          <w:color w:val="17243A"/>
          <w:sz w:val="50"/>
        </w:rPr>
        <w:t>OncoRounds 最新源码代码修改说明</w:t>
      </w:r>
    </w:p>
    <w:p>
      <w:pPr>
        <w:spacing w:after="320"/>
      </w:pPr>
      <w:r>
        <w:rPr>
          <w:rFonts w:ascii="Calibri" w:hAnsi="Calibri" w:eastAsia="Microsoft YaHei"/>
          <w:color w:val="5F6C84"/>
          <w:sz w:val="26"/>
        </w:rPr>
        <w:t>最终 Demo 同步、答题进度字段与 TimePoint 数据映射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  <w:sz w:val="21"/>
        </w:rPr>
        <w:t>版本：</w:t>
      </w:r>
      <w:r>
        <w:rPr>
          <w:rFonts w:ascii="Calibri" w:hAnsi="Calibri" w:eastAsia="Microsoft YaHei"/>
          <w:color w:val="17243A"/>
          <w:sz w:val="21"/>
        </w:rPr>
        <w:t>2026-08-24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  <w:sz w:val="21"/>
        </w:rPr>
        <w:t>适用源码：</w:t>
      </w:r>
      <w:r>
        <w:rPr>
          <w:rFonts w:ascii="Calibri" w:hAnsi="Calibri" w:eastAsia="Microsoft YaHei"/>
          <w:color w:val="17243A"/>
          <w:sz w:val="21"/>
        </w:rPr>
        <w:t>OncoRounds-最新完整源码-2026-08-24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  <w:sz w:val="21"/>
        </w:rPr>
        <w:t>目标：</w:t>
      </w:r>
      <w:r>
        <w:rPr>
          <w:rFonts w:ascii="Calibri" w:hAnsi="Calibri" w:eastAsia="Microsoft YaHei"/>
          <w:color w:val="17243A"/>
          <w:sz w:val="21"/>
        </w:rPr>
        <w:t>确保完整源码重新构建后与最终离线 Demo 行为一致</w:t>
      </w:r>
    </w:p>
    <w:p>
      <w:pPr>
        <w:spacing w:after="40"/>
      </w:pPr>
      <w:r>
        <w:rPr>
          <w:rFonts w:ascii="Calibri" w:hAnsi="Calibri" w:eastAsia="Microsoft YaHei"/>
          <w:b/>
          <w:color w:val="1F4D78"/>
          <w:sz w:val="21"/>
        </w:rPr>
        <w:t>修改边界：</w:t>
      </w:r>
      <w:r>
        <w:rPr>
          <w:rFonts w:ascii="Calibri" w:hAnsi="Calibri" w:eastAsia="Microsoft YaHei"/>
          <w:color w:val="17243A"/>
          <w:sz w:val="21"/>
        </w:rPr>
        <w:t>不修改病例内容、三套5题题库、答案或 FastGPT 接口</w:t>
      </w:r>
    </w:p>
    <w:p>
      <w:pPr>
        <w:spacing w:before="80" w:after="200"/>
        <w:ind w:left="173" w:right="173"/>
        <w:shd w:fill="E8EEF5"/>
      </w:pPr>
      <w:r>
        <w:rPr>
          <w:rFonts w:ascii="Calibri" w:hAnsi="Calibri" w:eastAsia="Microsoft YaHei"/>
          <w:b/>
          <w:color w:val="1F4D78"/>
          <w:sz w:val="22"/>
        </w:rPr>
        <w:t xml:space="preserve">关键结论  </w:t>
      </w:r>
      <w:r>
        <w:rPr>
          <w:rFonts w:ascii="Calibri" w:hAnsi="Calibri" w:eastAsia="Microsoft YaHei"/>
          <w:color w:val="17243A"/>
          <w:sz w:val="22"/>
        </w:rPr>
        <w:t>本次使用最小无损同步方案。src 目录没有业务代码改动；最终 Demo 的增强 CSS、JS 和疗效图片被纳入 public/assets，并由两个入口文件稳定加载。</w:t>
      </w:r>
    </w:p>
    <w:p>
      <w:pPr>
        <w:pStyle w:val="Heading1"/>
      </w:pPr>
      <w:r>
        <w:t>1. 修改范围总览</w:t>
      </w:r>
    </w:p>
    <w:p>
      <w:pPr>
        <w:spacing w:after="120"/>
      </w:pPr>
      <w:r>
        <w:rPr>
          <w:rFonts w:ascii="Calibri" w:hAnsi="Calibri" w:eastAsia="Microsoft YaHei"/>
          <w:color w:val="17243A"/>
          <w:sz w:val="22"/>
        </w:rPr>
        <w:t>以下内容是相对于 2026-08-19 完整源码的实际差异。dist 属于重新构建产物，不应手工维护。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720"/>
        <w:gridCol w:w="3240"/>
        <w:gridCol w:w="1260"/>
        <w:gridCol w:w="4140"/>
      </w:tblGrid>
      <w:tr>
        <w:trPr>
          <w:tblHeader w:val="true"/>
        </w:trPr>
        <w:tc>
          <w:tcPr>
            <w:tcW w:type="dxa" w:w="7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序号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12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</w:t>
            </w:r>
          </w:p>
        </w:tc>
        <w:tc>
          <w:tcPr>
            <w:tcW w:type="dxa" w:w="41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9"/>
              </w:rPr>
              <w:t>作用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7243A"/>
                <w:sz w:val="18"/>
              </w:rPr>
              <w:t>1</w:t>
            </w:r>
          </w:p>
        </w:tc>
        <w:tc>
          <w:tcPr>
            <w:tcW w:type="dxa" w:w="32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243A"/>
                <w:sz w:val="18"/>
              </w:rPr>
              <w:t>index.html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7243A"/>
                <w:sz w:val="18"/>
              </w:rPr>
              <w:t>修改</w:t>
            </w:r>
          </w:p>
        </w:tc>
        <w:tc>
          <w:tcPr>
            <w:tcW w:type="dxa" w:w="41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243A"/>
                <w:sz w:val="18"/>
              </w:rPr>
              <w:t>开发入口加载增强 CSS 与 JS。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7243A"/>
                <w:sz w:val="18"/>
              </w:rPr>
              <w:t>2</w:t>
            </w:r>
          </w:p>
        </w:tc>
        <w:tc>
          <w:tcPr>
            <w:tcW w:type="dxa" w:w="32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243A"/>
                <w:sz w:val="18"/>
              </w:rPr>
              <w:t>vite.index.html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7243A"/>
                <w:sz w:val="18"/>
              </w:rPr>
              <w:t>修改</w:t>
            </w:r>
          </w:p>
        </w:tc>
        <w:tc>
          <w:tcPr>
            <w:tcW w:type="dxa" w:w="41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243A"/>
                <w:sz w:val="18"/>
              </w:rPr>
              <w:t>生产构建前覆盖 index.html，必须同步修改。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7243A"/>
                <w:sz w:val="18"/>
              </w:rPr>
              <w:t>3</w:t>
            </w:r>
          </w:p>
        </w:tc>
        <w:tc>
          <w:tcPr>
            <w:tcW w:type="dxa" w:w="32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243A"/>
                <w:sz w:val="18"/>
              </w:rPr>
              <w:t>public/assets/lung-treatment-response.css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7243A"/>
                <w:sz w:val="18"/>
              </w:rPr>
              <w:t>新增</w:t>
            </w:r>
          </w:p>
        </w:tc>
        <w:tc>
          <w:tcPr>
            <w:tcW w:type="dxa" w:w="41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243A"/>
                <w:sz w:val="18"/>
              </w:rPr>
              <w:t>移动端布局、真实 LOGO、疗效卡片和病例回顾弹层样式。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7243A"/>
                <w:sz w:val="18"/>
              </w:rPr>
              <w:t>4</w:t>
            </w:r>
          </w:p>
        </w:tc>
        <w:tc>
          <w:tcPr>
            <w:tcW w:type="dxa" w:w="32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243A"/>
                <w:sz w:val="18"/>
              </w:rPr>
              <w:t>public/assets/lung-treatment-response.js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7243A"/>
                <w:sz w:val="18"/>
              </w:rPr>
              <w:t>新增</w:t>
            </w:r>
          </w:p>
        </w:tc>
        <w:tc>
          <w:tcPr>
            <w:tcW w:type="dxa" w:w="41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243A"/>
                <w:sz w:val="18"/>
              </w:rPr>
              <w:t>注入疗效卡片、缓存病例摘要/病程轴、提供答题页回顾弹层。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7243A"/>
                <w:sz w:val="18"/>
              </w:rPr>
              <w:t>5</w:t>
            </w:r>
          </w:p>
        </w:tc>
        <w:tc>
          <w:tcPr>
            <w:tcW w:type="dxa" w:w="32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243A"/>
                <w:sz w:val="18"/>
              </w:rPr>
              <w:t>public/assets/cases/lung-treatment-response.png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7243A"/>
                <w:sz w:val="18"/>
              </w:rPr>
              <w:t>新增</w:t>
            </w:r>
          </w:p>
        </w:tc>
        <w:tc>
          <w:tcPr>
            <w:tcW w:type="dxa" w:w="41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243A"/>
                <w:sz w:val="18"/>
              </w:rPr>
              <w:t>ROS1 疗效影像评估图片。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7243A"/>
                <w:sz w:val="18"/>
              </w:rPr>
              <w:t>6</w:t>
            </w:r>
          </w:p>
        </w:tc>
        <w:tc>
          <w:tcPr>
            <w:tcW w:type="dxa" w:w="32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243A"/>
                <w:sz w:val="18"/>
              </w:rPr>
              <w:t>dist/*</w:t>
            </w:r>
          </w:p>
        </w:tc>
        <w:tc>
          <w:tcPr>
            <w:tcW w:type="dxa" w:w="1260"/>
          </w:tcPr>
          <w:p>
            <w:pPr>
              <w:jc w:val="center"/>
            </w:pPr>
            <w:r>
              <w:rPr>
                <w:rFonts w:ascii="Calibri" w:hAnsi="Calibri" w:eastAsia="Microsoft YaHei"/>
                <w:color w:val="17243A"/>
                <w:sz w:val="18"/>
              </w:rPr>
              <w:t>构建生成</w:t>
            </w:r>
          </w:p>
        </w:tc>
        <w:tc>
          <w:tcPr>
            <w:tcW w:type="dxa" w:w="4140"/>
          </w:tcPr>
          <w:p>
            <w:pPr>
              <w:jc w:val="left"/>
            </w:pPr>
            <w:r>
              <w:rPr>
                <w:rFonts w:ascii="Calibri" w:hAnsi="Calibri" w:eastAsia="Microsoft YaHei"/>
                <w:color w:val="17243A"/>
                <w:sz w:val="18"/>
              </w:rPr>
              <w:t>pnpm build 生成的可部署产物，不直接编辑。</w:t>
            </w:r>
          </w:p>
        </w:tc>
      </w:tr>
    </w:tbl>
    <w:p>
      <w:pPr>
        <w:pStyle w:val="Heading1"/>
      </w:pPr>
      <w:r>
        <w:t>2. 入口文件如何修改</w:t>
      </w:r>
    </w:p>
    <w:p>
      <w:pPr>
        <w:pStyle w:val="Heading2"/>
      </w:pPr>
      <w:r>
        <w:t>2.1 index.html</w:t>
      </w:r>
    </w:p>
    <w:p>
      <w:pPr>
        <w:spacing w:after="120"/>
      </w:pPr>
      <w:r>
        <w:rPr>
          <w:rFonts w:ascii="Calibri" w:hAnsi="Calibri" w:eastAsia="Microsoft YaHei"/>
          <w:color w:val="17243A"/>
          <w:sz w:val="22"/>
        </w:rPr>
        <w:t>修改位置：head 内 description 后，以及 body 结束前。</w:t>
      </w:r>
    </w:p>
    <w:p>
      <w:pPr>
        <w:spacing w:before="80" w:after="160" w:line="252" w:lineRule="auto"/>
        <w:ind w:left="259" w:right="115"/>
        <w:shd w:fill="F5F7FA"/>
        <w:pBdr>
          <w:left w:val="single" w:sz="14" w:space="8" w:color="2E74B5"/>
        </w:pBdr>
      </w:pPr>
      <w:r>
        <w:rPr>
          <w:rFonts w:ascii="Consolas" w:hAnsi="Consolas" w:eastAsia="Microsoft YaHei"/>
          <w:color w:val="26384F"/>
          <w:sz w:val="18"/>
        </w:rPr>
        <w:t>&lt;meta name="description" content="肿瘤医生大查房互动教学 Demo" /&gt;</w:t>
      </w:r>
      <w:r>
        <w:br/>
      </w:r>
      <w:r>
        <w:rPr>
          <w:rFonts w:ascii="Consolas" w:hAnsi="Consolas" w:eastAsia="Microsoft YaHei"/>
          <w:color w:val="26384F"/>
          <w:sz w:val="18"/>
        </w:rPr>
        <w:t>&lt;link rel="stylesheet" href="./assets/lung-treatment-response.css?v=20260824-1" /&gt;</w:t>
      </w:r>
      <w:r>
        <w:br/>
      </w:r>
      <w:r>
        <w:rPr>
          <w:rFonts w:ascii="Consolas" w:hAnsi="Consolas" w:eastAsia="Microsoft YaHei"/>
          <w:color w:val="26384F"/>
          <w:sz w:val="18"/>
        </w:rPr>
        <w:t>&lt;title&gt;肿瘤医生大查房&lt;/title&gt;</w:t>
      </w:r>
      <w:r>
        <w:br/>
      </w:r>
      <w:r>
        <w:rPr>
          <w:rFonts w:ascii="Consolas" w:hAnsi="Consolas" w:eastAsia="Microsoft YaHei"/>
          <w:color w:val="26384F"/>
          <w:sz w:val="18"/>
        </w:rPr>
      </w:r>
      <w:r>
        <w:br/>
      </w:r>
      <w:r>
        <w:rPr>
          <w:rFonts w:ascii="Consolas" w:hAnsi="Consolas" w:eastAsia="Microsoft YaHei"/>
          <w:color w:val="26384F"/>
          <w:sz w:val="18"/>
        </w:rPr>
        <w:t>...</w:t>
      </w:r>
      <w:r>
        <w:br/>
      </w:r>
      <w:r>
        <w:rPr>
          <w:rFonts w:ascii="Consolas" w:hAnsi="Consolas" w:eastAsia="Microsoft YaHei"/>
          <w:color w:val="26384F"/>
          <w:sz w:val="18"/>
        </w:rPr>
      </w:r>
      <w:r>
        <w:br/>
      </w:r>
      <w:r>
        <w:rPr>
          <w:rFonts w:ascii="Consolas" w:hAnsi="Consolas" w:eastAsia="Microsoft YaHei"/>
          <w:color w:val="26384F"/>
          <w:sz w:val="18"/>
        </w:rPr>
        <w:t>&lt;script type="module" src="/src/main.tsx"&gt;&lt;/script&gt;</w:t>
      </w:r>
      <w:r>
        <w:br/>
      </w:r>
      <w:r>
        <w:rPr>
          <w:rFonts w:ascii="Consolas" w:hAnsi="Consolas" w:eastAsia="Microsoft YaHei"/>
          <w:color w:val="26384F"/>
          <w:sz w:val="18"/>
        </w:rPr>
        <w:t>&lt;script src="./assets/lung-treatment-response.js?v=20260824-1"&gt;&lt;/script&gt;</w:t>
      </w:r>
    </w:p>
    <w:p>
      <w:pPr>
        <w:pStyle w:val="Heading2"/>
      </w:pPr>
      <w:r>
        <w:t>2.2 vite.index.html</w:t>
      </w:r>
    </w:p>
    <w:p>
      <w:pPr>
        <w:spacing w:after="120"/>
      </w:pPr>
      <w:r>
        <w:rPr>
          <w:rFonts w:ascii="Calibri" w:hAnsi="Calibri" w:eastAsia="Microsoft YaHei"/>
          <w:color w:val="17243A"/>
          <w:sz w:val="22"/>
        </w:rPr>
        <w:t>使用完全相同的两行引用。package.json 的 prebuild 会执行以下命令：</w:t>
      </w:r>
    </w:p>
    <w:p>
      <w:pPr>
        <w:spacing w:before="80" w:after="160" w:line="252" w:lineRule="auto"/>
        <w:ind w:left="259" w:right="115"/>
        <w:shd w:fill="F5F7FA"/>
        <w:pBdr>
          <w:left w:val="single" w:sz="14" w:space="8" w:color="2E74B5"/>
        </w:pBdr>
      </w:pPr>
      <w:r>
        <w:rPr>
          <w:rFonts w:ascii="Consolas" w:hAnsi="Consolas" w:eastAsia="Microsoft YaHei"/>
          <w:color w:val="26384F"/>
          <w:sz w:val="18"/>
        </w:rPr>
        <w:t>node -e "require('node:fs').copyFileSync('vite.index.html', 'index.html')"</w:t>
      </w:r>
    </w:p>
    <w:p>
      <w:pPr>
        <w:spacing w:before="80" w:after="200"/>
        <w:ind w:left="173" w:right="173"/>
        <w:shd w:fill="F4F6F9"/>
      </w:pPr>
      <w:r>
        <w:rPr>
          <w:rFonts w:ascii="Calibri" w:hAnsi="Calibri" w:eastAsia="Microsoft YaHei"/>
          <w:b/>
          <w:color w:val="1F4D78"/>
          <w:sz w:val="22"/>
        </w:rPr>
        <w:t xml:space="preserve">为什么两个文件都要改  </w:t>
      </w:r>
      <w:r>
        <w:rPr>
          <w:rFonts w:ascii="Calibri" w:hAnsi="Calibri" w:eastAsia="Microsoft YaHei"/>
          <w:color w:val="17243A"/>
          <w:sz w:val="22"/>
        </w:rPr>
        <w:t>如果只改 index.html，下一次 pnpm build 会被 vite.index.html 覆盖，增强样式和交互会再次消失。</w:t>
      </w:r>
    </w:p>
    <w:p>
      <w:pPr>
        <w:pStyle w:val="Heading1"/>
      </w:pPr>
      <w:r>
        <w:t>3. 增强 JavaScript 的具体职责</w:t>
      </w:r>
    </w:p>
    <w:p>
      <w:pPr>
        <w:spacing w:after="120"/>
      </w:pPr>
      <w:r>
        <w:rPr>
          <w:rFonts w:ascii="Calibri" w:hAnsi="Calibri" w:eastAsia="Microsoft YaHei"/>
          <w:color w:val="17243A"/>
          <w:sz w:val="22"/>
        </w:rPr>
        <w:t>文件：public/assets/lung-treatment-response.js。它保持原 React 业务逻辑不变，通过监听页面切换补充最终 Demo 已存在的功能。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2"/>
        </w:rPr>
        <w:t>syncResponseCard()（约第16行）：</w:t>
      </w:r>
      <w:r>
        <w:rPr>
          <w:rFonts w:ascii="Calibri" w:hAnsi="Calibri" w:eastAsia="Microsoft YaHei"/>
          <w:color w:val="17243A"/>
          <w:sz w:val="22"/>
        </w:rPr>
        <w:t>仅在 ROS1 病例摘要中插入“疗效影像评估”卡片，并引用 lung-treatment-response.png。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2"/>
        </w:rPr>
        <w:t>cacheVisibleOverview()（约第63行）：</w:t>
      </w:r>
      <w:r>
        <w:rPr>
          <w:rFonts w:ascii="Calibri" w:hAnsi="Calibri" w:eastAsia="Microsoft YaHei"/>
          <w:color w:val="17243A"/>
          <w:sz w:val="22"/>
        </w:rPr>
        <w:t>缓存当前病例已渲染的病例摘要与病程轴 DOM，供答题时回顾。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2"/>
        </w:rPr>
        <w:t>hydrateCaseContent()（约第86行）：</w:t>
      </w:r>
      <w:r>
        <w:rPr>
          <w:rFonts w:ascii="Calibri" w:hAnsi="Calibri" w:eastAsia="Microsoft YaHei"/>
          <w:color w:val="17243A"/>
          <w:sz w:val="22"/>
        </w:rPr>
        <w:t>必要时自动切换摘要/病程轴页签取得两份内容，然后恢复用户原页签。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2"/>
        </w:rPr>
        <w:t>openReviewLayer()（约第154行）：</w:t>
      </w:r>
      <w:r>
        <w:rPr>
          <w:rFonts w:ascii="Calibri" w:hAnsi="Calibri" w:eastAsia="Microsoft YaHei"/>
          <w:color w:val="17243A"/>
          <w:sz w:val="22"/>
        </w:rPr>
        <w:t>在答题页创建病例资料对话框，包含“病例摘要”和“病程轴”两个页签。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2"/>
        </w:rPr>
        <w:t>ensureReviewTrigger()（约第204行）：</w:t>
      </w:r>
      <w:r>
        <w:rPr>
          <w:rFonts w:ascii="Calibri" w:hAnsi="Calibri" w:eastAsia="Microsoft YaHei"/>
          <w:color w:val="17243A"/>
          <w:sz w:val="22"/>
        </w:rPr>
        <w:t>把答题页右侧状态点替换成“回顾病例资料”按钮。</w:t>
      </w:r>
    </w:p>
    <w:p>
      <w:pPr>
        <w:spacing w:after="100"/>
      </w:pPr>
      <w:r>
        <w:rPr>
          <w:rFonts w:ascii="Calibri" w:hAnsi="Calibri" w:eastAsia="Microsoft YaHei"/>
          <w:b/>
          <w:color w:val="1F4D78"/>
          <w:sz w:val="22"/>
        </w:rPr>
        <w:t>MutationObserver（约第239行）：</w:t>
      </w:r>
      <w:r>
        <w:rPr>
          <w:rFonts w:ascii="Calibri" w:hAnsi="Calibri" w:eastAsia="Microsoft YaHei"/>
          <w:color w:val="17243A"/>
          <w:sz w:val="22"/>
        </w:rPr>
        <w:t>监听 React 根节点变化，在页面切换后重新同步增强内容。</w:t>
      </w:r>
    </w:p>
    <w:p>
      <w:pPr>
        <w:spacing w:before="80" w:after="160" w:line="252" w:lineRule="auto"/>
        <w:ind w:left="259" w:right="115"/>
        <w:shd w:fill="F5F7FA"/>
        <w:pBdr>
          <w:left w:val="single" w:sz="14" w:space="8" w:color="2E74B5"/>
        </w:pBdr>
      </w:pPr>
      <w:r>
        <w:rPr>
          <w:rFonts w:ascii="Consolas" w:hAnsi="Consolas" w:eastAsia="Microsoft YaHei"/>
          <w:color w:val="26384F"/>
          <w:sz w:val="18"/>
        </w:rPr>
        <w:t>new MutationObserver(syncAppEnhancements).observe(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document.getElementById("root"),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{ childList: true, subtree: true }</w:t>
      </w:r>
      <w:r>
        <w:br/>
      </w:r>
      <w:r>
        <w:rPr>
          <w:rFonts w:ascii="Consolas" w:hAnsi="Consolas" w:eastAsia="Microsoft YaHei"/>
          <w:color w:val="26384F"/>
          <w:sz w:val="18"/>
        </w:rPr>
        <w:t>);</w:t>
      </w:r>
    </w:p>
    <w:p>
      <w:pPr>
        <w:pStyle w:val="Heading1"/>
      </w:pPr>
      <w:r>
        <w:t>4. 增强 CSS 的具体职责</w:t>
      </w:r>
    </w:p>
    <w:p>
      <w:pPr>
        <w:spacing w:after="120"/>
      </w:pPr>
      <w:r>
        <w:rPr>
          <w:rFonts w:ascii="Calibri" w:hAnsi="Calibri" w:eastAsia="Microsoft YaHei"/>
          <w:color w:val="17243A"/>
          <w:sz w:val="22"/>
        </w:rPr>
        <w:t>文件：public/assets/lung-treatment-response.css。主要选择器和媒体查询如下。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@media (min-height: 700px)：调整高屏设备首页纵向重心。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@media (max-width: 559px)：修复手机端顶部空间、主图高度和底部操作区。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.brand-lockup.is-compact .brand-orb：用真实 oncorounds-orb.png 替代原图标。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.treatment-response-card：定义 ROS1 疗效影像卡片。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.case-review-trigger：定义“回顾病例资料”紧凑胶囊按钮。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.case-review-layer：定义全屏病例回顾弹层。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.case-review-tabs / .case-review-scroll：定义摘要/病程轴切换和滚动区域。</w:t>
      </w:r>
    </w:p>
    <w:p>
      <w:pPr>
        <w:pStyle w:val="Heading1"/>
      </w:pPr>
      <w:r>
        <w:t>5. 答题页顶部进度的数据来源</w:t>
      </w:r>
    </w:p>
    <w:p>
      <w:pPr>
        <w:spacing w:after="120"/>
      </w:pPr>
      <w:r>
        <w:rPr>
          <w:rFonts w:ascii="Calibri" w:hAnsi="Calibri" w:eastAsia="Microsoft YaHei"/>
          <w:color w:val="17243A"/>
          <w:sz w:val="22"/>
        </w:rPr>
        <w:t>页面位置：src/components/RoundSession.tsx。顶部病例简称来自 clinicalCase.shortTitle；题号和进度由 questionIndex 与 questions.length 实时计算。</w:t>
      </w:r>
    </w:p>
    <w:p>
      <w:pPr>
        <w:spacing w:before="80" w:after="160" w:line="252" w:lineRule="auto"/>
        <w:ind w:left="259" w:right="115"/>
        <w:shd w:fill="F5F7FA"/>
        <w:pBdr>
          <w:left w:val="single" w:sz="14" w:space="8" w:color="2E74B5"/>
        </w:pBdr>
      </w:pPr>
      <w:r>
        <w:rPr>
          <w:rFonts w:ascii="Consolas" w:hAnsi="Consolas" w:eastAsia="Microsoft YaHei"/>
          <w:color w:val="26384F"/>
          <w:sz w:val="18"/>
        </w:rPr>
        <w:t>const progress =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((state.questionIndex + 1) / clinicalCase.questions.length) * 100</w:t>
      </w:r>
      <w:r>
        <w:br/>
      </w:r>
      <w:r>
        <w:rPr>
          <w:rFonts w:ascii="Consolas" w:hAnsi="Consolas" w:eastAsia="Microsoft YaHei"/>
          <w:color w:val="26384F"/>
          <w:sz w:val="18"/>
        </w:rPr>
      </w:r>
      <w:r>
        <w:br/>
      </w:r>
      <w:r>
        <w:rPr>
          <w:rFonts w:ascii="Consolas" w:hAnsi="Consolas" w:eastAsia="Microsoft YaHei"/>
          <w:color w:val="26384F"/>
          <w:sz w:val="18"/>
        </w:rPr>
        <w:t>&lt;span&gt;{clinicalCase.shortTitle}&lt;/span&gt;</w:t>
      </w:r>
      <w:r>
        <w:br/>
      </w:r>
      <w:r>
        <w:rPr>
          <w:rFonts w:ascii="Consolas" w:hAnsi="Consolas" w:eastAsia="Microsoft YaHei"/>
          <w:color w:val="26384F"/>
          <w:sz w:val="18"/>
        </w:rPr>
        <w:t>&lt;strong&gt;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{state.questionIndex + 1} / {clinicalCase.questions.length}</w:t>
      </w:r>
      <w:r>
        <w:br/>
      </w:r>
      <w:r>
        <w:rPr>
          <w:rFonts w:ascii="Consolas" w:hAnsi="Consolas" w:eastAsia="Microsoft YaHei"/>
          <w:color w:val="26384F"/>
          <w:sz w:val="18"/>
        </w:rPr>
        <w:t>&lt;/strong&gt;</w:t>
      </w:r>
      <w:r>
        <w:br/>
      </w:r>
      <w:r>
        <w:rPr>
          <w:rFonts w:ascii="Consolas" w:hAnsi="Consolas" w:eastAsia="Microsoft YaHei"/>
          <w:color w:val="26384F"/>
          <w:sz w:val="18"/>
        </w:rPr>
      </w:r>
      <w:r>
        <w:br/>
      </w:r>
      <w:r>
        <w:rPr>
          <w:rFonts w:ascii="Consolas" w:hAnsi="Consolas" w:eastAsia="Microsoft YaHei"/>
          <w:color w:val="26384F"/>
          <w:sz w:val="18"/>
        </w:rPr>
        <w:t>&lt;div className="progress-track"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   aria-label={`查房进度 ${Math.round(progress)}%`}&gt;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&lt;span style={{ width: `${progress}%` }} /&gt;</w:t>
      </w:r>
      <w:r>
        <w:br/>
      </w:r>
      <w:r>
        <w:rPr>
          <w:rFonts w:ascii="Consolas" w:hAnsi="Consolas" w:eastAsia="Microsoft YaHei"/>
          <w:color w:val="26384F"/>
          <w:sz w:val="18"/>
        </w:rPr>
        <w:t>&lt;/div&gt;</w:t>
      </w:r>
    </w:p>
    <w:p>
      <w:pPr>
        <w:spacing w:after="120"/>
      </w:pPr>
      <w:r>
        <w:rPr>
          <w:rFonts w:ascii="Calibri" w:hAnsi="Calibri" w:eastAsia="Microsoft YaHei"/>
          <w:color w:val="17243A"/>
          <w:sz w:val="22"/>
        </w:rPr>
        <w:t>独立交付文件：01-答题进度.json。每个病例有5个 steps，进度值固定为20、40、60、80、100。</w:t>
      </w:r>
    </w:p>
    <w:p>
      <w:pPr>
        <w:spacing w:before="80" w:after="160" w:line="252" w:lineRule="auto"/>
        <w:ind w:left="259" w:right="115"/>
        <w:shd w:fill="F5F7FA"/>
        <w:pBdr>
          <w:left w:val="single" w:sz="14" w:space="8" w:color="2E74B5"/>
        </w:pBdr>
      </w:pPr>
      <w:r>
        <w:rPr>
          <w:rFonts w:ascii="Consolas" w:hAnsi="Consolas" w:eastAsia="Microsoft YaHei"/>
          <w:color w:val="26384F"/>
          <w:sz w:val="18"/>
        </w:rPr>
        <w:t>{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"case_id": "lung-ros1",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"display_title": "ROS1 融合肺癌",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"total_questions": 5,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"steps": [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  {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    "question_id": "Q2",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    "current_question": 2,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    "total_questions": 5,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    "display_counter": "2 / 5",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    "progress_percent": 40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  }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]</w:t>
      </w:r>
      <w:r>
        <w:br/>
      </w:r>
      <w:r>
        <w:rPr>
          <w:rFonts w:ascii="Consolas" w:hAnsi="Consolas" w:eastAsia="Microsoft YaHei"/>
          <w:color w:val="26384F"/>
          <w:sz w:val="18"/>
        </w:rPr>
        <w:t>}</w:t>
      </w:r>
    </w:p>
    <w:p>
      <w:pPr>
        <w:pStyle w:val="Heading1"/>
      </w:pPr>
      <w:r>
        <w:t>6. TimePoint 胶囊的数据来源</w:t>
      </w:r>
    </w:p>
    <w:p>
      <w:pPr>
        <w:spacing w:after="120"/>
      </w:pPr>
      <w:r>
        <w:rPr>
          <w:rFonts w:ascii="Calibri" w:hAnsi="Calibri" w:eastAsia="Microsoft YaHei"/>
          <w:color w:val="17243A"/>
          <w:sz w:val="22"/>
        </w:rPr>
        <w:t>原始字段来自已审核题库中的 question.timepoint 和 question.phase。src/data/publishedQuestions.ts 将两者按“空格·空格”连接为 question.context。</w:t>
      </w:r>
    </w:p>
    <w:p>
      <w:pPr>
        <w:spacing w:before="80" w:after="160" w:line="252" w:lineRule="auto"/>
        <w:ind w:left="259" w:right="115"/>
        <w:shd w:fill="F5F7FA"/>
        <w:pBdr>
          <w:left w:val="single" w:sz="14" w:space="8" w:color="2E74B5"/>
        </w:pBdr>
      </w:pPr>
      <w:r>
        <w:rPr>
          <w:rFonts w:ascii="Consolas" w:hAnsi="Consolas" w:eastAsia="Microsoft YaHei"/>
          <w:color w:val="26384F"/>
          <w:sz w:val="18"/>
        </w:rPr>
        <w:t>context: [question.timepoint, question.phase]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.filter(Boolean)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.join(' · ')</w:t>
      </w:r>
    </w:p>
    <w:p>
      <w:pPr>
        <w:spacing w:after="120"/>
      </w:pPr>
      <w:r>
        <w:rPr>
          <w:rFonts w:ascii="Calibri" w:hAnsi="Calibri" w:eastAsia="Microsoft YaHei"/>
          <w:color w:val="17243A"/>
          <w:sz w:val="22"/>
        </w:rPr>
        <w:t>RoundSession.tsx 只负责显示已经转换好的 context：</w:t>
      </w:r>
    </w:p>
    <w:p>
      <w:pPr>
        <w:spacing w:before="80" w:after="160" w:line="252" w:lineRule="auto"/>
        <w:ind w:left="259" w:right="115"/>
        <w:shd w:fill="F5F7FA"/>
        <w:pBdr>
          <w:left w:val="single" w:sz="14" w:space="8" w:color="2E74B5"/>
        </w:pBdr>
      </w:pPr>
      <w:r>
        <w:rPr>
          <w:rFonts w:ascii="Consolas" w:hAnsi="Consolas" w:eastAsia="Microsoft YaHei"/>
          <w:color w:val="26384F"/>
          <w:sz w:val="18"/>
        </w:rPr>
        <w:t>&lt;div className="question-context"&gt;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&lt;ClipboardText weight="duotone" /&gt;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&lt;p&gt;{question.context}&lt;/p&gt;</w:t>
      </w:r>
      <w:r>
        <w:br/>
      </w:r>
      <w:r>
        <w:rPr>
          <w:rFonts w:ascii="Consolas" w:hAnsi="Consolas" w:eastAsia="Microsoft YaHei"/>
          <w:color w:val="26384F"/>
          <w:sz w:val="18"/>
        </w:rPr>
        <w:t>&lt;/div&gt;</w:t>
      </w:r>
    </w:p>
    <w:p>
      <w:pPr>
        <w:spacing w:after="120"/>
      </w:pPr>
      <w:r>
        <w:rPr>
          <w:rFonts w:ascii="Calibri" w:hAnsi="Calibri" w:eastAsia="Microsoft YaHei"/>
          <w:color w:val="17243A"/>
          <w:sz w:val="22"/>
        </w:rPr>
        <w:t>独立交付文件：02-题目时间点胶囊.json。每道题保留 timepoint、phase、display_text 和对应题干。</w:t>
      </w:r>
    </w:p>
    <w:p>
      <w:pPr>
        <w:spacing w:before="80" w:after="160" w:line="252" w:lineRule="auto"/>
        <w:ind w:left="259" w:right="115"/>
        <w:shd w:fill="F5F7FA"/>
        <w:pBdr>
          <w:left w:val="single" w:sz="14" w:space="8" w:color="2E74B5"/>
        </w:pBdr>
      </w:pPr>
      <w:r>
        <w:rPr>
          <w:rFonts w:ascii="Consolas" w:hAnsi="Consolas" w:eastAsia="Microsoft YaHei"/>
          <w:color w:val="26384F"/>
          <w:sz w:val="18"/>
        </w:rPr>
        <w:t>{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"question_id": "Q2",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"timepoint": "2021 年 9 月 CNS 进展时",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"phase": "疾病进展管理",</w:t>
      </w:r>
      <w:r>
        <w:br/>
      </w:r>
      <w:r>
        <w:rPr>
          <w:rFonts w:ascii="Consolas" w:hAnsi="Consolas" w:eastAsia="Microsoft YaHei"/>
          <w:color w:val="26384F"/>
          <w:sz w:val="18"/>
        </w:rPr>
        <w:t xml:space="preserve">  "display_text": "2021 年 9 月 CNS 进展时 · 疾病进展管理"</w:t>
      </w:r>
      <w:r>
        <w:br/>
      </w:r>
      <w:r>
        <w:rPr>
          <w:rFonts w:ascii="Consolas" w:hAnsi="Consolas" w:eastAsia="Microsoft YaHei"/>
          <w:color w:val="26384F"/>
          <w:sz w:val="18"/>
        </w:rPr>
        <w:t>}</w:t>
      </w:r>
    </w:p>
    <w:p>
      <w:pPr>
        <w:pStyle w:val="Heading1"/>
      </w:pPr>
      <w:r>
        <w:t>7. 构建与交付步骤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在 OncoRounds-最新完整源码-2026-08-24 目录打开终端。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执行 pnpm install --frozen-lockfile 安装锁定依赖。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执行 pnpm test -- --run 运行测试。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执行 pnpm build 进行 TypeScript 检查和 Vite 生产构建。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执行 pnpm preview 打开 dist 进行最终浏览器检查。</w:t>
      </w:r>
    </w:p>
    <w:p>
      <w:pPr>
        <w:spacing w:before="80" w:after="160" w:line="252" w:lineRule="auto"/>
        <w:ind w:left="259" w:right="115"/>
        <w:shd w:fill="F5F7FA"/>
        <w:pBdr>
          <w:left w:val="single" w:sz="14" w:space="8" w:color="2E74B5"/>
        </w:pBdr>
      </w:pPr>
      <w:r>
        <w:rPr>
          <w:rFonts w:ascii="Consolas" w:hAnsi="Consolas" w:eastAsia="Microsoft YaHei"/>
          <w:color w:val="26384F"/>
          <w:sz w:val="18"/>
        </w:rPr>
        <w:t>pnpm install --frozen-lockfile</w:t>
      </w:r>
      <w:r>
        <w:br/>
      </w:r>
      <w:r>
        <w:rPr>
          <w:rFonts w:ascii="Consolas" w:hAnsi="Consolas" w:eastAsia="Microsoft YaHei"/>
          <w:color w:val="26384F"/>
          <w:sz w:val="18"/>
        </w:rPr>
        <w:t>pnpm test -- --run</w:t>
      </w:r>
      <w:r>
        <w:br/>
      </w:r>
      <w:r>
        <w:rPr>
          <w:rFonts w:ascii="Consolas" w:hAnsi="Consolas" w:eastAsia="Microsoft YaHei"/>
          <w:color w:val="26384F"/>
          <w:sz w:val="18"/>
        </w:rPr>
        <w:t>pnpm build</w:t>
      </w:r>
      <w:r>
        <w:br/>
      </w:r>
      <w:r>
        <w:rPr>
          <w:rFonts w:ascii="Consolas" w:hAnsi="Consolas" w:eastAsia="Microsoft YaHei"/>
          <w:color w:val="26384F"/>
          <w:sz w:val="18"/>
        </w:rPr>
        <w:t>pnpm preview</w:t>
      </w:r>
    </w:p>
    <w:p>
      <w:pPr>
        <w:pStyle w:val="Heading1"/>
      </w:pPr>
      <w:r>
        <w:t>8. 验证结果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3个测试文件、11项测试全部通过。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TypeScript 独立检查通过。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Vite 生产构建通过。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dist 中包含增强 CSS、增强 JS 和疗效图片。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实际浏览器验证：首页轮播、ROS1疗效影像、答题页病例回顾均正常。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LOGO与病例图片加载成功，控制台无错误。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src 目录文件哈希对比：业务代码改动数量为0。</w:t>
      </w:r>
    </w:p>
    <w:p>
      <w:pPr>
        <w:pStyle w:val="Heading1"/>
      </w:pPr>
      <w:r>
        <w:t>9. 维护注意事项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不要直接修改 dist；dist 必须由 pnpm build 重新生成。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不要删除 index.html 与 vite.index.html 中的增强 CSS/JS 引用。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不要只更新 index.html；prebuild 会用 vite.index.html 覆盖它。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不要把 FastGPT API Key 写入前端源码、JSON、日志或 Git 仓库。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题库仍执行严格5题和发布审核门禁；本次修改没有改变题目内容与答案。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color w:val="17243A"/>
          <w:sz w:val="22"/>
        </w:rPr>
        <w:t>如后续要移除 DOM 增强层，应先把病例回顾和疗效影像正式迁移为 React 组件，再删除 public/assets 中对应 JS/CSS。</w:t>
      </w:r>
    </w:p>
    <w:p>
      <w:pPr>
        <w:spacing w:before="80" w:after="200"/>
        <w:ind w:left="173" w:right="173"/>
        <w:shd w:fill="E9F5F2"/>
      </w:pPr>
      <w:r>
        <w:rPr>
          <w:rFonts w:ascii="Calibri" w:hAnsi="Calibri" w:eastAsia="Microsoft YaHei"/>
          <w:b/>
          <w:color w:val="1F4D78"/>
          <w:sz w:val="22"/>
        </w:rPr>
        <w:t xml:space="preserve">交付状态  </w:t>
      </w:r>
      <w:r>
        <w:rPr>
          <w:rFonts w:ascii="Calibri" w:hAnsi="Calibri" w:eastAsia="Microsoft YaHei"/>
          <w:color w:val="17243A"/>
          <w:sz w:val="22"/>
        </w:rPr>
        <w:t>最新版完整源码、进度 JSON、TimePoint JSON 均已单独交付；此文档用于开发复现、审查和后续维护。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F6C84"/>
        <w:sz w:val="18"/>
      </w:rPr>
      <w:t xml:space="preserve">2026-08-24  |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C84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F6C84"/>
        <w:sz w:val="18"/>
      </w:rPr>
      <w:t>OncoRounds  ·  技术交接说明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17243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