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职考 Go 肿瘤中级职称 PRD</w:t>
      </w:r>
    </w:p>
    <w:p>
      <w:pPr>
        <w:pStyle w:val="Subtitle"/>
      </w:pPr>
      <w:r>
        <w:t>V0.1  需求评审稿  2026年9月17日</w:t>
      </w:r>
    </w:p>
    <w:p>
      <w:r>
        <w:t>为备考肿瘤中级职称的医生提供专业题库学习服务。在现有职考 Go 小程序中同步接入三个专业，让用户完成专业选择、科目练习、解析学习和错题复习。</w:t>
      </w:r>
    </w:p>
    <w:p>
      <w:pPr>
        <w:pStyle w:val="Heading1"/>
      </w:pPr>
      <w:r>
        <w:t>1 项目范围与产品目标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1701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937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本期口径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已确认范围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341 肿瘤内科学、342 肿瘤外科学、343 肿瘤放射治疗学同步上线，接入现有职考 Go 小程序。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已确认待定事项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收费方式尚未决定；价格、免费范围、有效期与 AI 使用额度暂不设定。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本稿建议方案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复用现有首页视觉、答题、解析、AI 与错题体验；新增专业选择，按专业组织科目和学习记录。以下页面与业务细则为评审方案。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范围候选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附件建议首期聚焦题库、暂不新增课程和社区；作为范围建议保留，不视为已批准的排期。</w:t>
            </w:r>
          </w:p>
        </w:tc>
      </w:tr>
    </w:tbl>
    <w:p>
      <w:pPr>
        <w:spacing w:after="0"/>
      </w:pPr>
    </w:p>
    <w:p>
      <w:pPr>
        <w:pStyle w:val="Heading2"/>
      </w:pPr>
      <w:r>
        <w:t>产品目标</w:t>
      </w:r>
    </w:p>
    <w:p>
      <w:r>
        <w:t>用户能找到正确专业的学习内容，在退出后继续练习，并根据解析和错题完成复习。三个专业共用产品体验，各自呈现题目、进度与学习结果。</w:t>
      </w:r>
    </w:p>
    <w:p>
      <w:pPr>
        <w:pStyle w:val="Heading2"/>
      </w:pPr>
      <w:r>
        <w:t>核心流程</w:t>
      </w:r>
    </w:p>
    <w:p>
      <w:r>
        <w:t>现有首页“更多职考科目” → 中级职称 → 选择专业 → 专业首页 → 选择科目和练习内容 → 登录及权益校验 → 答题 → 查看解析或 AI 追问 → 继续练习或错题复习。</w:t>
      </w:r>
    </w:p>
    <w:p>
      <w:r>
        <w:t>“更多职考科目”在参考截图中可见；其点击后的现有页面尚未提供。本稿建议在该路径接入中级职称，具体入口层级需结合现有小程序确认。</w:t>
      </w:r>
    </w:p>
    <w:p>
      <w:pPr>
        <w:pStyle w:val="Heading2"/>
      </w:pPr>
      <w:r>
        <w:t>内容组织</w:t>
      </w:r>
    </w:p>
    <w:p>
      <w:r>
        <w:t>专业 → 科目 → 练习内容 → 题目。科目暂按附件中的基础知识、相关专业知识、专业知识、专业实践能力组织，发布前由内容负责人核对各专业考纲。练习内容按可交付的章节或题组呈现，不预设套数、题量与年份。</w:t>
      </w:r>
    </w:p>
    <w:p>
      <w:r>
        <w:br w:type="page"/>
      </w:r>
    </w:p>
    <w:p>
      <w:pPr>
        <w:pStyle w:val="Heading1"/>
      </w:pPr>
      <w:r>
        <w:t>2 专业选择与首页示意</w:t>
      </w:r>
    </w:p>
    <w:p>
      <w:r>
        <w:t>沿用现有浅蓝背景、白色圆角卡片、考拉形象和功能入口。示意展示“选择肿瘤内科学”及该专业首次进入状态。</w:t>
      </w:r>
    </w:p>
    <w:p>
      <w:r>
        <w:drawing>
          <wp:inline xmlns:a="http://schemas.openxmlformats.org/drawingml/2006/main" xmlns:pic="http://schemas.openxmlformats.org/drawingml/2006/picture">
            <wp:extent cx="6156000" cy="49265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业选择与首页示意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4926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修改后示意图  左侧为专业选择  右侧为专业首页无练习记录状态</w:t>
      </w:r>
    </w:p>
    <w:p>
      <w:pPr>
        <w:pStyle w:val="Heading2"/>
      </w:pPr>
      <w:r>
        <w:t>页面与规则对应</w:t>
      </w:r>
    </w:p>
    <w:p>
      <w:r>
        <w:t>选择专业后，首页显示对应名称和代码；科目列表、啃题、错题兜兜与 AI 私教均以当前专业为范围。“开始练习”进入科目选择，“我的”沿用现有账号入口。</w:t>
      </w:r>
    </w:p>
    <w:p>
      <w:r>
        <w:t>首页有未完成练习时，将“还没有练习记录”替换为最近未完成内容，并显示“继续练习”；点击后恢复最近一次成功保存的位置。没有未完成练习但有学习记录时，显示最近学习内容和“选择练习”。</w:t>
      </w:r>
    </w:p>
    <w:p>
      <w:r>
        <w:br w:type="page"/>
      </w:r>
    </w:p>
    <w:p>
      <w:pPr>
        <w:pStyle w:val="Heading1"/>
      </w:pPr>
      <w:r>
        <w:t>3 入口与专业页面需求</w:t>
      </w:r>
    </w:p>
    <w:p>
      <w:pPr>
        <w:pStyle w:val="Heading2"/>
      </w:pPr>
      <w:r>
        <w:t>3.1 专业选择</w:t>
      </w:r>
    </w:p>
    <w:p>
      <w:r>
        <w:t>进入中级职称后展示三个专业名称和代码。首次进入不默认替用户选择，未选择时“确认选择”不可点击；选择后显示选中状态，点击确认进入对应专业首页。</w:t>
      </w:r>
    </w:p>
    <w:p>
      <w:r>
        <w:t>从专业首页点击“切换专业”时，当前专业默认选中。点击其他专业后，需点击“确认选择”才生效；直接返回则保持原专业。专业切换不删除任何专业的练习记录。</w:t>
      </w:r>
    </w:p>
    <w:p>
      <w:r>
        <w:t>已登录用户再次进入中级职称时，优先打开上次确认的专业。未登录时可以浏览专业和内容目录；登录后保留本次明确选择的专业，不被账号历史选择覆盖。</w:t>
      </w:r>
    </w:p>
    <w:p>
      <w:pPr>
        <w:pStyle w:val="Heading2"/>
      </w:pPr>
      <w:r>
        <w:t>3.2 专业首页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1701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区域</w:t>
            </w:r>
          </w:p>
        </w:tc>
        <w:tc>
          <w:tcPr>
            <w:tcW w:type="dxa" w:w="7937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展示与操作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专业信息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显示专业名称、代码和“切换专业”。不根据尚未验证的算法展示中级职称通过率。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科目列表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显示四个科目；点击进入本科目的练习内容列表。暂无内容时显示“内容准备中”，不进入空白答题页。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啃题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进入当前专业的科目与练习内容选择；复用现有入口名称。章节树或闯关组织方式需核实现有能力后确定。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AI私教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进入现有 AI 私教，带入当前专业；不自动带入其他专业历史题目。具体知识范围及权益待确认。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错题兜兜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进入当前专业错题列表，可按科目筛选。没有错题时展示空态并引导练习。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练习记录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有未完成练习显示“继续练习”；未练习显示“开始练习”；均不凭空生成进度或得分。</w:t>
            </w:r>
          </w:p>
        </w:tc>
      </w:tr>
    </w:tbl>
    <w:p>
      <w:pPr>
        <w:spacing w:after="0"/>
      </w:pPr>
    </w:p>
    <w:p>
      <w:pPr>
        <w:pStyle w:val="Heading2"/>
      </w:pPr>
      <w:r>
        <w:t>3.3 练习内容列表</w:t>
      </w:r>
    </w:p>
    <w:p>
      <w:r>
        <w:t>列表显示内容名称、实际可用题量和状态。状态为未开始、进行中、已完成；进行中显示本次已答数量，已完成可查看作答记录。没有题目或内容暂不可用时说明原因，不显示可开始按钮。</w:t>
      </w:r>
    </w:p>
    <w:p>
      <w:r>
        <w:t>点击练习内容时，未登录用户进入现有登录流程；登录成功回到刚选择的内容并继续权益校验，取消登录返回列表。权益允许后，首次开始进入第一道题，继续练习恢复已保存位置。付费拦截的条件和文案在商业方案确定后补齐。</w:t>
      </w:r>
    </w:p>
    <w:p>
      <w:r>
        <w:br w:type="page"/>
      </w:r>
    </w:p>
    <w:p>
      <w:pPr>
        <w:pStyle w:val="Heading1"/>
      </w:pPr>
      <w:r>
        <w:t>4 答题与复习需求</w:t>
      </w:r>
    </w:p>
    <w:p>
      <w:pPr>
        <w:pStyle w:val="Heading2"/>
      </w:pPr>
      <w:r>
        <w:t>4.1 练习答题</w:t>
      </w:r>
    </w:p>
    <w:p>
      <w:r>
        <w:t>答题页显示当前专业、科目、练习内容名称、本次题号、题型、题干和选项。页面视觉参考现有答题卡片；不沿用旧估分活动的600题、150题单元或总分规则。</w:t>
      </w:r>
    </w:p>
    <w:p>
      <w:r>
        <w:t>本稿建议采用“选择答案 → 提交答案 → 反馈与解析 → 下一题”。单选题选择一项，多选类题允许选择多项后提交；未选择时不可提交。答案成功保存后才更新已答数并展示结果。</w:t>
      </w:r>
    </w:p>
    <w:p>
      <w:r>
        <w:t>保存失败时保留当前选择，提示“答案未保存，请重试”，允许重试或退出；退出提示本题选择未保存。连续点击提交不产生重复作答记录。</w:t>
      </w:r>
    </w:p>
    <w:p>
      <w:r>
        <w:t>已提交题在本次练习中只可回看，不修改原答案。再次练习从练习内容列表发起，生成新的练习记录；历史记录保留。退出后以最近一次成功保存的位置恢复，未提交选项不计入进度。</w:t>
      </w:r>
    </w:p>
    <w:p>
      <w:pPr>
        <w:pStyle w:val="Heading2"/>
      </w:pPr>
      <w:r>
        <w:t>4.2 题型适配与解析</w:t>
      </w:r>
    </w:p>
    <w:p>
      <w:r>
        <w:t>单题、多题共用题干、多题共用选项及案例分步呈现需分别适配。共用材料应始终可以查看，子题各自保存答案；案例中尚未到达的后续材料不提前展示。最终题型清单由三专业实际题库和考纲核验确定。</w:t>
      </w:r>
    </w:p>
    <w:p>
      <w:r>
        <w:t>普通练习支持按题号回看已展示内容；若案例后续材料会泄露前题答案，应在该案例内限制回退与提前查看解析。案例何时揭示答案、是否扣分及评分方式须经内容审核后确定。未确认前不承诺完全模拟真实考试。</w:t>
      </w:r>
    </w:p>
    <w:p>
      <w:r>
        <w:t>解析展示审核后的正确答案、解题说明与其他选项辨析；有可靠来源时展示来源信息。缺少解析不以临时 AI 回答冒充标准解析；内容异常进入修订流程。</w:t>
      </w:r>
    </w:p>
    <w:p>
      <w:pPr>
        <w:pStyle w:val="Heading2"/>
      </w:pPr>
      <w:r>
        <w:t>4.3 AI 追问与错题复习</w:t>
      </w:r>
    </w:p>
    <w:p>
      <w:r>
        <w:t>从解析进入 AI 追问时，带入当前专业、题干、用户答案与标准解析；返回时保持原题位置。回答失败提供重试，不改动作答结果。AI 回答与标准解析分区显示，不自动改写标准答案。</w:t>
      </w:r>
    </w:p>
    <w:p>
      <w:r>
        <w:t>本次答错的题加入当前专业错题列表，同一专业同一道题不重复列出。复习答对后仍保留错题历史，显示最近练习结果；本稿不预设“答对一次自动移除”。若沿用现有移除规则，应在评审后统一。</w:t>
      </w:r>
    </w:p>
    <w:p>
      <w:r>
        <w:t>完成本次全部题目后显示已答数量及已支持题型的作答结果。统计不能覆盖的案例题不混入统一正确率；若涉及正式评分，须先补齐评分规则，不将练习结果表述为官方成绩或通过概率。</w:t>
      </w:r>
    </w:p>
    <w:p>
      <w:r>
        <w:br w:type="page"/>
      </w:r>
    </w:p>
    <w:p>
      <w:pPr>
        <w:pStyle w:val="Heading1"/>
      </w:pPr>
      <w:r>
        <w:t>5 业务规则与上线依赖</w:t>
      </w:r>
    </w:p>
    <w:p>
      <w:pPr>
        <w:pStyle w:val="Heading2"/>
      </w:pPr>
      <w:r>
        <w:t>5.1 学习记录与专业切换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1701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7937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处理规则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专业隔离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当前专业首页、错题、最近练习只展示本专业记录。即使多个专业复用同一道内容，用户学习状态仍分别保存。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练习进度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本次已答数为本次成功提交答案的题目数，重复提交不累加；全部题目提交成功后才标记已完成。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切换与返回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从专业首页切换，不在答题中途直接替换题库。返回原专业后可继续原有未完成练习。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内容下架或修订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进入前发现内容不可用，说明原因并返回列表；历史记录不得无提示改变。题目修订后新练习使用新版，旧记录保留作答时的内容与判定。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账号状态变化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登录失效时暂停提交，引导重新登录；登录同一账号恢复当前位置，切换账号则读取该账号记录。</w:t>
            </w:r>
          </w:p>
        </w:tc>
      </w:tr>
    </w:tbl>
    <w:p>
      <w:pPr>
        <w:spacing w:after="0"/>
      </w:pPr>
    </w:p>
    <w:p>
      <w:pPr>
        <w:pStyle w:val="Heading2"/>
      </w:pPr>
      <w:r>
        <w:t>5.2 待定权益</w:t>
      </w:r>
    </w:p>
    <w:p>
      <w:r>
        <w:t>专业选择和目录浏览建议开放；答题、标准解析、错题复习、AI 私教和 AI 追问的免费范围均待定。页面示意不代表这些能力已确定免费。</w:t>
      </w:r>
    </w:p>
    <w:p>
      <w:r>
        <w:t>商业方案需明确：单专业或组合售卖、价格、权益有效期、已有会员是否通用、退款或到期后的访问范围、AI 次数共享与扣减方式。未确定前不复用旧活动“每日5次”或“会员不限次”等规则。</w:t>
      </w:r>
    </w:p>
    <w:p>
      <w:pPr>
        <w:pStyle w:val="Heading2"/>
      </w:pPr>
      <w:r>
        <w:t>5.3 内容与能力交付</w:t>
      </w:r>
    </w:p>
    <w:p>
      <w:r>
        <w:t>内容负责人分别确认三个专业的科目目录、题型、可用题目与解析、来源依据及更新负责人。三专业同步上线以三份清单均完成审核为前提，不能用同一套通用题冒充三个完整专业题库。</w:t>
      </w:r>
    </w:p>
    <w:p>
      <w:r>
        <w:t>研发需核实：现有专业切换、账号进度保存、多选题、共用材料、案例题、错题归集和 AI 上下文是否已支持。可复用项直接接入，缺口在开发前明确增量。</w:t>
      </w:r>
    </w:p>
    <w:p>
      <w:r>
        <w:t>模拟考试、考试计分与单向作答规则，需以适用年度及专业的官方资料核验后另行补齐。两年成绩有效期属于附件中的考试说明，本稿不据此新增成绩管理功能。</w:t>
      </w:r>
    </w:p>
    <w:p>
      <w:pPr>
        <w:pStyle w:val="Heading2"/>
      </w:pPr>
      <w:r>
        <w:t>5.4 观察项目效果</w:t>
      </w:r>
    </w:p>
    <w:p>
      <w:r>
        <w:t>建议按专业观察：首次成功提交答案的用户数、完成练习的用户数、再次练习情况及内容问题反馈。付费转化口径随商业方案补齐；本稿不设未经确认的目标值或埋点参数。</w:t>
      </w:r>
    </w:p>
    <w:p>
      <w:r>
        <w:br w:type="page"/>
      </w:r>
    </w:p>
    <w:p>
      <w:pPr>
        <w:pStyle w:val="Heading1"/>
      </w:pPr>
      <w:r>
        <w:t>6 验收与评审事项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1757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7880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80" w:before="80"/>
            </w:pPr>
            <w:r>
              <w:rPr>
                <w:sz w:val="18"/>
              </w:rPr>
              <w:t>三专业入口</w:t>
            </w:r>
          </w:p>
        </w:tc>
        <w:tc>
          <w:tcPr>
            <w:tcW w:type="dxa" w:w="7880"/>
          </w:tcPr>
          <w:p>
            <w:pPr>
              <w:spacing w:after="80" w:before="80"/>
            </w:pPr>
            <w:r>
              <w:rPr>
                <w:sz w:val="18"/>
              </w:rPr>
              <w:t>三个专业名称、代码准确，均能进入对应首页，展示各自审核后的内容。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80" w:before="80"/>
            </w:pPr>
            <w:r>
              <w:rPr>
                <w:sz w:val="18"/>
              </w:rPr>
              <w:t>选择与取消</w:t>
            </w:r>
          </w:p>
        </w:tc>
        <w:tc>
          <w:tcPr>
            <w:tcW w:type="dxa" w:w="7880"/>
          </w:tcPr>
          <w:p>
            <w:pPr>
              <w:spacing w:after="80" w:before="80"/>
            </w:pPr>
            <w:r>
              <w:rPr>
                <w:sz w:val="18"/>
              </w:rPr>
              <w:t>未选择不能确认；切换页返回不改变专业，确认后首页和内容范围同步变化。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80" w:before="80"/>
            </w:pPr>
            <w:r>
              <w:rPr>
                <w:sz w:val="18"/>
              </w:rPr>
              <w:t>首次与再次进入</w:t>
            </w:r>
          </w:p>
        </w:tc>
        <w:tc>
          <w:tcPr>
            <w:tcW w:type="dxa" w:w="7880"/>
          </w:tcPr>
          <w:p>
            <w:pPr>
              <w:spacing w:after="80" w:before="80"/>
            </w:pPr>
            <w:r>
              <w:rPr>
                <w:sz w:val="18"/>
              </w:rPr>
              <w:t>首次不自动选择；已登录用户再次进入恢复上次确认专业；主动选择优先于历史专业。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80" w:before="80"/>
            </w:pPr>
            <w:r>
              <w:rPr>
                <w:sz w:val="18"/>
              </w:rPr>
              <w:t>登录回跳</w:t>
            </w:r>
          </w:p>
        </w:tc>
        <w:tc>
          <w:tcPr>
            <w:tcW w:type="dxa" w:w="7880"/>
          </w:tcPr>
          <w:p>
            <w:pPr>
              <w:spacing w:after="80" w:before="80"/>
            </w:pPr>
            <w:r>
              <w:rPr>
                <w:sz w:val="18"/>
              </w:rPr>
              <w:t>从指定内容触发登录，成功后继续该内容的权益校验，取消后返回列表。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80" w:before="80"/>
            </w:pPr>
            <w:r>
              <w:rPr>
                <w:sz w:val="18"/>
              </w:rPr>
              <w:t>提交与重试</w:t>
            </w:r>
          </w:p>
        </w:tc>
        <w:tc>
          <w:tcPr>
            <w:tcW w:type="dxa" w:w="7880"/>
          </w:tcPr>
          <w:p>
            <w:pPr>
              <w:spacing w:after="80" w:before="80"/>
            </w:pPr>
            <w:r>
              <w:rPr>
                <w:sz w:val="18"/>
              </w:rPr>
              <w:t>保存成功才增加已答数；重复点击不重复记数，失败保留选择并可重试。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80" w:before="80"/>
            </w:pPr>
            <w:r>
              <w:rPr>
                <w:sz w:val="18"/>
              </w:rPr>
              <w:t>退出续答</w:t>
            </w:r>
          </w:p>
        </w:tc>
        <w:tc>
          <w:tcPr>
            <w:tcW w:type="dxa" w:w="7880"/>
          </w:tcPr>
          <w:p>
            <w:pPr>
              <w:spacing w:after="80" w:before="80"/>
            </w:pPr>
            <w:r>
              <w:rPr>
                <w:sz w:val="18"/>
              </w:rPr>
              <w:t>已提交答案保留，再次进入恢复位置；未提交选项不被记为完成。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80" w:before="80"/>
            </w:pPr>
            <w:r>
              <w:rPr>
                <w:sz w:val="18"/>
              </w:rPr>
              <w:t>专业隔离</w:t>
            </w:r>
          </w:p>
        </w:tc>
        <w:tc>
          <w:tcPr>
            <w:tcW w:type="dxa" w:w="7880"/>
          </w:tcPr>
          <w:p>
            <w:pPr>
              <w:spacing w:after="80" w:before="80"/>
            </w:pPr>
            <w:r>
              <w:rPr>
                <w:sz w:val="18"/>
              </w:rPr>
              <w:t>在341答错后切换342，342错题不出现341记录；切回341记录仍在。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80" w:before="80"/>
            </w:pPr>
            <w:r>
              <w:rPr>
                <w:sz w:val="18"/>
              </w:rPr>
              <w:t>材料与题型</w:t>
            </w:r>
          </w:p>
        </w:tc>
        <w:tc>
          <w:tcPr>
            <w:tcW w:type="dxa" w:w="7880"/>
          </w:tcPr>
          <w:p>
            <w:pPr>
              <w:spacing w:after="80" w:before="80"/>
            </w:pPr>
            <w:r>
              <w:rPr>
                <w:sz w:val="18"/>
              </w:rPr>
              <w:t>共用材料正确对应子题；案例后续材料不提前泄露；不支持的题型不进入正式学习。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80" w:before="80"/>
            </w:pPr>
            <w:r>
              <w:rPr>
                <w:sz w:val="18"/>
              </w:rPr>
              <w:t>解析与AI</w:t>
            </w:r>
          </w:p>
        </w:tc>
        <w:tc>
          <w:tcPr>
            <w:tcW w:type="dxa" w:w="7880"/>
          </w:tcPr>
          <w:p>
            <w:pPr>
              <w:spacing w:after="80" w:before="80"/>
            </w:pPr>
            <w:r>
              <w:rPr>
                <w:sz w:val="18"/>
              </w:rPr>
              <w:t>标准解析和AI回答清晰区分；追问对应当前题目，返回后位置不丢失。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80" w:before="80"/>
            </w:pPr>
            <w:r>
              <w:rPr>
                <w:sz w:val="18"/>
              </w:rPr>
              <w:t>完成与统计</w:t>
            </w:r>
          </w:p>
        </w:tc>
        <w:tc>
          <w:tcPr>
            <w:tcW w:type="dxa" w:w="7880"/>
          </w:tcPr>
          <w:p>
            <w:pPr>
              <w:spacing w:after="80" w:before="80"/>
            </w:pPr>
            <w:r>
              <w:rPr>
                <w:sz w:val="18"/>
              </w:rPr>
              <w:t>本次所有题目成功提交后才标记完成，不显示未经确定的考试总分或通过率。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80" w:before="80"/>
            </w:pPr>
            <w:r>
              <w:rPr>
                <w:sz w:val="18"/>
              </w:rPr>
              <w:t>内容异常</w:t>
            </w:r>
          </w:p>
        </w:tc>
        <w:tc>
          <w:tcPr>
            <w:tcW w:type="dxa" w:w="7880"/>
          </w:tcPr>
          <w:p>
            <w:pPr>
              <w:spacing w:after="80" w:before="80"/>
            </w:pPr>
            <w:r>
              <w:rPr>
                <w:sz w:val="18"/>
              </w:rPr>
              <w:t>空列表、下架内容、保存失败均有明确反馈和返回路径，不进入无内容的答题页。</w:t>
            </w:r>
          </w:p>
        </w:tc>
      </w:tr>
    </w:tbl>
    <w:p>
      <w:pPr>
        <w:spacing w:after="0"/>
      </w:pPr>
    </w:p>
    <w:p>
      <w:pPr>
        <w:pStyle w:val="Heading2"/>
      </w:pPr>
      <w:r>
        <w:t>评审需收敛的决定</w:t>
      </w:r>
    </w:p>
    <w:p>
      <w:r>
        <w:t>① 确认“更多职考科目”的接入路径，以及专业首页用科目列表承接还是延续现有闯关。</w:t>
        <w:br/>
        <w:t>② 核实啃题、AI 私教、错题兜兜现有规则及中级职称适配缺口。</w:t>
        <w:br/>
        <w:t>③ 确认题库来源、可交付题量、解析审核与案例题交互；决定是否另做模拟考试。</w:t>
        <w:br/>
        <w:t>④ 明确售卖方式、免费范围、有效期、已有会员权益及 AI 额度。</w:t>
      </w:r>
    </w:p>
    <w:p>
      <w:pPr>
        <w:pStyle w:val="Heading2"/>
      </w:pPr>
      <w:r>
        <w:t>参考资料</w:t>
      </w:r>
    </w:p>
    <w:p>
      <w:r>
        <w:t>《职考项目拓展——肿瘤职称市场分析》用于背景与题库范围参考；“医考GO估分/prototype/public/assets/reference”中的home、question、list截图用于现有视觉参考；估分活动原型用于答题、解析及追问路径参考。以上参考中的活动数字、收费与考试规则不自动成为本项目要求。</w:t>
      </w:r>
    </w:p>
    <w:sectPr w:rsidR="00FC693F" w:rsidRPr="0006063C" w:rsidSect="00034616"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172B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B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B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Microsoft YaHei" w:hAnsi="Microsoft YaHei" w:eastAsia="Microsoft YaHei"/>
      <w:b/>
      <w:bCs/>
      <w:color w:val="172B4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