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医考Go 肿瘤中级职称产品需求文档</w:t>
      </w:r>
    </w:p>
    <w:p>
      <w:r>
        <w:t>V0.3  评审稿  2026年9月22日</w:t>
      </w:r>
    </w:p>
    <w:p>
      <w:pPr>
        <w:pStyle w:val="Heading1"/>
      </w:pPr>
      <w:r>
        <w:t>一 产品定位与目标</w:t>
      </w:r>
    </w:p>
    <w:p>
      <w:r>
        <w:t>在现有医考Go小程序中接入肿瘤内科学（341）、肿瘤外科学（342）、肿瘤放射治疗学（343）备考内容，三个专业首期同时上线。以已有考试题目为主线，沿用测评、学习计划、闯关、解析和AI追问能力，在相关解析中融入指南／TNM依据并关联大查房病例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AF1F7"/>
          </w:tcPr>
          <w:p>
            <w:pPr>
              <w:spacing w:after="40" w:line="269" w:lineRule="auto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7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AF1F7"/>
          </w:tcPr>
          <w:p>
            <w:pPr>
              <w:spacing w:after="40" w:line="269" w:lineRule="auto"/>
            </w:pPr>
            <w:r>
              <w:rPr>
                <w:b/>
                <w:sz w:val="20"/>
              </w:rPr>
              <w:t>本期要求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核心目标</w:t>
            </w:r>
          </w:p>
        </w:tc>
        <w:tc>
          <w:tcPr>
            <w:tcW w:type="dxa" w:w="7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验证付费，主要观察付费人数与销售额；目标值及统计周期待定。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用户与载体</w:t>
            </w:r>
          </w:p>
        </w:tc>
        <w:tc>
          <w:tcPr>
            <w:tcW w:type="dxa" w:w="7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面向三个专业的备考用户，主要在医考Go小程序完成学习与购买。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内容基础</w:t>
            </w:r>
          </w:p>
        </w:tc>
        <w:tc>
          <w:tcPr>
            <w:tcW w:type="dxa" w:w="7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三个专业的相应题目已有；可上线题目清单、解析及关联资料由内容侧核对。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购买方式</w:t>
            </w:r>
          </w:p>
        </w:tc>
        <w:tc>
          <w:tcPr>
            <w:tcW w:type="dxa" w:w="7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一次购买解锁所选专业，不设到期时间，跨年度使用，内容免费更新，无需续费。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实现范围</w:t>
            </w:r>
          </w:p>
        </w:tc>
        <w:tc>
          <w:tcPr>
            <w:tcW w:type="dxa" w:w="7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适配现有能力；不新增独立指南／TNM入口、独立病例训练模块或额外四科勾选步骤。</w:t>
            </w:r>
          </w:p>
        </w:tc>
      </w:tr>
    </w:tbl>
    <w:p>
      <w:pPr>
        <w:pStyle w:val="Heading1"/>
      </w:pPr>
      <w:r>
        <w:t>二 用户场景</w:t>
      </w:r>
    </w:p>
    <w:p>
      <w:r>
        <w:t>开始备考：选择所报考专业，完成对应测评，查看学习计划，进入闯关学习。</w:t>
      </w:r>
    </w:p>
    <w:p>
      <w:r>
        <w:t>先体验再购买：免费完成测评、查看计划并体验部分闯关题目，购买后继续学习所选专业的后续内容。</w:t>
      </w:r>
    </w:p>
    <w:p>
      <w:r>
        <w:t>理解题目：查看解析中的方案依据或分期条件；需要进一步理解时，进入题目关联的大查房病例，或使用已有AI追问。</w:t>
      </w:r>
    </w:p>
    <w:p>
      <w:pPr>
        <w:pStyle w:val="Heading1"/>
      </w:pPr>
      <w:r>
        <w:t>三 核心流程</w:t>
      </w:r>
    </w:p>
    <w:p>
      <w:r>
        <w:t>进入现有测评 → 选择考试专业 → 沿用备考信息填写与对应测评 → 免费查看学习计划 → 进入闯关并体验部分题目 → 购买所选专业 → 解锁后续内容。</w:t>
      </w:r>
    </w:p>
    <w:p>
      <w:r>
        <w:t>学习延伸：答题 → 查看解析 → 阅读相关指南／TNM说明 → 按需进入关联的大查房病例。大查房打开位置待定，不影响其已包含在所购专业权益中的规则。</w:t>
      </w:r>
    </w:p>
    <w:p>
      <w:r>
        <w:br w:type="page"/>
      </w:r>
    </w:p>
    <w:p>
      <w:pPr>
        <w:pStyle w:val="Heading1"/>
      </w:pPr>
      <w:r>
        <w:t>四 页面需求及示意</w:t>
      </w:r>
    </w:p>
    <w:p>
      <w:pPr>
        <w:pStyle w:val="Heading2"/>
      </w:pPr>
      <w:r>
        <w:t>4.1 选择考试专业</w:t>
      </w:r>
    </w:p>
    <w:p>
      <w:r>
        <w:t>保留现有首屏标题、考拉形象及1/9进度，在“临床执业医师资格考试”下方依次增加三个专业选项。点击选项后沿现有流程继续，后续测评、计划及题目与所选专业对应，不新增确认按钮或考试内部四科的勾选步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8000" cy="530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专业选择页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 修改后示意图  首屏未选择状态</w:t>
      </w:r>
    </w:p>
    <w:p>
      <w:r>
        <w:t>选项文案：临床执业医师资格考试；肿瘤内科学（341）；肿瘤外科学（342）；肿瘤放射治疗学（343）。</w:t>
      </w:r>
    </w:p>
    <w:p>
      <w:r>
        <w:t>临床执业医师入口沿用原流程。三个新增专业分别匹配对应内容，不将临床执医的测评题、题量宣传或学习结果直接复制过去。</w:t>
      </w:r>
    </w:p>
    <w:p>
      <w:r>
        <w:br w:type="page"/>
      </w:r>
    </w:p>
    <w:p>
      <w:pPr>
        <w:pStyle w:val="Heading2"/>
      </w:pPr>
      <w:r>
        <w:t>4.2 测评与学习计划</w:t>
      </w:r>
    </w:p>
    <w:p>
      <w:r>
        <w:t>复用现有备考信息填写、测评和计划页面。测评及学习计划免费；专业名称、测评题和计划中的学习内容须与首屏选择一致。测评题量、选题、评分及计划匹配按现有机制适配，具体配置在评审时核对。</w:t>
      </w:r>
    </w:p>
    <w:p>
      <w:r>
        <w:t>学习计划继续引导进入现有闯关首页。不新增按已通过科目筛选的前置步骤；考试内部四科作为内容组织依据，具体章节与关卡映射由现有题库和学习结构确定。</w:t>
      </w:r>
    </w:p>
    <w:p>
      <w:pPr>
        <w:pStyle w:val="Heading2"/>
      </w:pPr>
      <w:r>
        <w:t>4.3 闯关与题目解析</w:t>
      </w:r>
    </w:p>
    <w:p>
      <w:r>
        <w:t>沿用已有闯关、答题、解析、错题及AI追问能力，加载所选专业内容。免费用户可体验部分闯关题目，超出体验范围时进入所选专业购买流程；已购买用户可继续使用该专业后续内容。</w:t>
      </w:r>
    </w:p>
    <w:p>
      <w:r>
        <w:t>相关题目解析补充指南／TNM内容，说明为什么选择该方案、哪些条件影响分期。沿用现有解析结构，不额外设置独立学习入口；无相关内容的题目不强行添加。</w:t>
      </w:r>
    </w:p>
    <w:p>
      <w:r>
        <w:t>指南或分期说明应对应所用版本，并写明来源。内容有分歧或来源尚未核实时，由内容侧完成核对后发布，不将未经审核的新生成文本直接作为正式依据。</w:t>
      </w:r>
    </w:p>
    <w:p>
      <w:r>
        <w:t>AI追问沿用已有入口和能力。本期不把AI答疑作为新建模块；中级职称适用的免费次数、购买后额度及限制提示待核对，不直接采用考后估分方案中的每日5次或不限次规则。</w:t>
      </w:r>
    </w:p>
    <w:p>
      <w:pPr>
        <w:pStyle w:val="Heading2"/>
      </w:pPr>
      <w:r>
        <w:t>4.4 关联大查房</w:t>
      </w:r>
    </w:p>
    <w:p>
      <w:r>
        <w:t>题目存在有效关联病例时，在解析中提供病例标题及“查看相关病例”入口；没有关联内容时不显示空入口。关联以能帮助理解当前知识点为准，不要求每道题都配病例。</w:t>
      </w:r>
    </w:p>
    <w:p>
      <w:r>
        <w:t>已购买用户可使用所购专业关联的大查房病例，无需再次付费；该权益不扩大为全部大查房内容。免费体验用户能否访问关联病例待定。</w:t>
      </w:r>
    </w:p>
    <w:p>
      <w:r>
        <w:t>小程序内打开还是跳转肿瘤医生APP，暂不确定。评审时需补齐打开、登录、权益识别和返回原题的路径；无论采用哪种方式，进入病例前已保存的答题进度应保留。</w:t>
      </w:r>
    </w:p>
    <w:p>
      <w:pPr>
        <w:pStyle w:val="Heading2"/>
      </w:pPr>
      <w:r>
        <w:t>4.5 购买与权益展示</w:t>
      </w:r>
    </w:p>
    <w:p>
      <w:r>
        <w:t>复用现有购买页面，明确展示所购专业、价格及权益：“一次购买，长期有效，免费更新”，并说明包含该专业关联的大查房病例。价格待定，不沿用旧图的9.9元、30天等文案。</w:t>
      </w:r>
    </w:p>
    <w:p>
      <w:r>
        <w:t>购买成功后解锁对应专业，返回用户原学习位置继续；取消或支付失败时保留原进度，不解锁后续付费内容。实际扣款但权益未显示时，应核查订单并恢复已购权益，不引导重复购买；现有处理能力在评审时核对。</w:t>
      </w:r>
    </w:p>
    <w:p>
      <w:r>
        <w:br w:type="page"/>
      </w:r>
    </w:p>
    <w:p>
      <w:pPr>
        <w:pStyle w:val="Heading1"/>
      </w:pPr>
      <w:r>
        <w:t>五 权益与业务规则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AF1F7"/>
          </w:tcPr>
          <w:p>
            <w:pPr>
              <w:spacing w:after="40" w:line="269" w:lineRule="auto"/>
            </w:pPr>
            <w:r>
              <w:rPr>
                <w:b/>
                <w:sz w:val="20"/>
              </w:rPr>
              <w:t>能力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AF1F7"/>
          </w:tcPr>
          <w:p>
            <w:pPr>
              <w:spacing w:after="40" w:line="269" w:lineRule="auto"/>
            </w:pPr>
            <w:r>
              <w:rPr>
                <w:b/>
                <w:sz w:val="20"/>
              </w:rPr>
              <w:t>未购买所选专业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AF1F7"/>
          </w:tcPr>
          <w:p>
            <w:pPr>
              <w:spacing w:after="40" w:line="269" w:lineRule="auto"/>
            </w:pPr>
            <w:r>
              <w:rPr>
                <w:b/>
                <w:sz w:val="20"/>
              </w:rPr>
              <w:t>已购买所选专业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测评与学习计划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免费使用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免费使用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闯关题目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可体验部分题目，范围待定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解锁所购专业后续内容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题目解析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体验题解析范围待定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提供所购专业题目解析及相关指南／TNM说明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AI追问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复用已有能力，适用额度待定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复用已有能力，购买后额度待定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关联大查房病例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是否开放待定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包含在所购专业权益中，无需另付费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有效期与更新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不适用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不设到期时间，跨年度使用，内容免费更新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其他专业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不因体验当前专业而解锁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不随本次购买自动解锁</w:t>
            </w:r>
          </w:p>
        </w:tc>
      </w:tr>
    </w:tbl>
    <w:p>
      <w:pPr>
        <w:pStyle w:val="Heading1"/>
      </w:pPr>
      <w:r>
        <w:t>返回 续答与异常</w:t>
      </w:r>
    </w:p>
    <w:p>
      <w:r>
        <w:t>以下作为适配验收要求，优先复用现有处理方式；若现有行为不同，在评审中确认调整。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AF1F7"/>
          </w:tcPr>
          <w:p>
            <w:pPr>
              <w:spacing w:after="40" w:line="269" w:lineRule="auto"/>
            </w:pPr>
            <w:r>
              <w:rPr>
                <w:b/>
                <w:sz w:val="20"/>
              </w:rPr>
              <w:t>场景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AF1F7"/>
          </w:tcPr>
          <w:p>
            <w:pPr>
              <w:spacing w:after="40" w:line="269" w:lineRule="auto"/>
            </w:pPr>
            <w:r>
              <w:rPr>
                <w:b/>
                <w:sz w:val="20"/>
              </w:rPr>
              <w:t>处理要求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内容加载失败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保留所选专业，提示重试，不用其他专业题目替代。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提交失败或重复点击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保留当前选择并允许重试；成功保存后再更新进度，不重复累计。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退出后再次进入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在同一账号、同一专业内恢复已保存进度；未保存的作答不显示为已完成。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返回首屏更换专业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进入新专业对应内容，已保存记录按专业保留，不将原专业测评结果或购买权益套用到新专业。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关联病例不可用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提示当前病例不可用，允许返回题目解析，不阻断继续学习。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需要登录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沿用现有登录入口；登录后回到发起操作的位置，取消后保留可免费访问的页面。</w:t>
            </w:r>
          </w:p>
        </w:tc>
      </w:tr>
    </w:tbl>
    <w:p>
      <w:pPr>
        <w:spacing w:before="120"/>
      </w:pPr>
      <w:r>
        <w:t>跨小程序与APP的账号、进度及权益互通未确认，本稿不承诺跨端自动续答。答题计分、返回及回看优先核对现有练习规则，不把模拟考试的特殊计分或不可回退说法直接加入本期。</w:t>
      </w:r>
    </w:p>
    <w:p>
      <w:r>
        <w:br w:type="page"/>
      </w:r>
    </w:p>
    <w:p>
      <w:pPr>
        <w:pStyle w:val="Heading1"/>
      </w:pPr>
      <w:r>
        <w:t>六 关键验收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AF1F7"/>
          </w:tcPr>
          <w:p>
            <w:pPr>
              <w:spacing w:after="40" w:line="269" w:lineRule="auto"/>
            </w:pPr>
            <w:r>
              <w:rPr>
                <w:b/>
                <w:sz w:val="20"/>
              </w:rPr>
              <w:t>检查项</w:t>
            </w:r>
          </w:p>
        </w:tc>
        <w:tc>
          <w:tcPr>
            <w:tcW w:type="dxa" w:w="7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AF1F7"/>
          </w:tcPr>
          <w:p>
            <w:pPr>
              <w:spacing w:after="40" w:line="269" w:lineRule="auto"/>
            </w:pPr>
            <w:r>
              <w:rPr>
                <w:b/>
                <w:sz w:val="20"/>
              </w:rPr>
              <w:t>验收标准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专业入口</w:t>
            </w:r>
          </w:p>
        </w:tc>
        <w:tc>
          <w:tcPr>
            <w:tcW w:type="dxa" w:w="7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首屏四个选项名称、代码、顺序正确；无需额外四科勾选，点击后继续对应流程。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三专业适配</w:t>
            </w:r>
          </w:p>
        </w:tc>
        <w:tc>
          <w:tcPr>
            <w:tcW w:type="dxa" w:w="7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分别选341、342、343，测评、计划、关卡与题目均匹配所选专业；临床执医入口不受影响。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免费体验</w:t>
            </w:r>
          </w:p>
        </w:tc>
        <w:tc>
          <w:tcPr>
            <w:tcW w:type="dxa" w:w="7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未购买用户能完成测评、查看计划并进入规定体验题；超出范围进入对应专业购买流程。具体边界按待定项补齐后验收。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购买范围</w:t>
            </w:r>
          </w:p>
        </w:tc>
        <w:tc>
          <w:tcPr>
            <w:tcW w:type="dxa" w:w="7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购买341只解锁341，342、343不自动解锁；原专业已购用户不被再次要求购买同一权益。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长期使用</w:t>
            </w:r>
          </w:p>
        </w:tc>
        <w:tc>
          <w:tcPr>
            <w:tcW w:type="dxa" w:w="7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不因固定天数或跨考试年度而失效；所购专业内容更新不另收费。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解析与病例</w:t>
            </w:r>
          </w:p>
        </w:tc>
        <w:tc>
          <w:tcPr>
            <w:tcW w:type="dxa" w:w="7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相关题目可查看已审核的指南／TNM说明及关联病例入口；无关联不显示空入口。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大查房权益</w:t>
            </w:r>
          </w:p>
        </w:tc>
        <w:tc>
          <w:tcPr>
            <w:tcW w:type="dxa" w:w="7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所购专业关联病例可使用且不再次收费；不因此开放全部大查房。打开方式确定后补测完整往返路径。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进度与异常</w:t>
            </w:r>
          </w:p>
        </w:tc>
        <w:tc>
          <w:tcPr>
            <w:tcW w:type="dxa" w:w="7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切换专业不串记录；退出、提交失败、购买取消和病例不可用按第五节处理。</w:t>
            </w:r>
          </w:p>
        </w:tc>
      </w:tr>
    </w:tbl>
    <w:p>
      <w:pPr>
        <w:pStyle w:val="Heading1"/>
      </w:pPr>
      <w:r>
        <w:t>七 待定项与上线依赖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AF1F7"/>
          </w:tcPr>
          <w:p>
            <w:pPr>
              <w:spacing w:after="40" w:line="269" w:lineRule="auto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7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AF1F7"/>
          </w:tcPr>
          <w:p>
            <w:pPr>
              <w:spacing w:after="40" w:line="269" w:lineRule="auto"/>
            </w:pPr>
            <w:r>
              <w:rPr>
                <w:b/>
                <w:sz w:val="20"/>
              </w:rPr>
              <w:t>需补齐内容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定价与体验</w:t>
            </w:r>
          </w:p>
        </w:tc>
        <w:tc>
          <w:tcPr>
            <w:tcW w:type="dxa" w:w="7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各专业价格、免费体验题量及选题方式、体验题解析和关联病例开放范围。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AI权益</w:t>
            </w:r>
          </w:p>
        </w:tc>
        <w:tc>
          <w:tcPr>
            <w:tcW w:type="dxa" w:w="7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核对现有规则，确定中级职称免费用户与已购用户的追问额度及限制提示。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内容配置</w:t>
            </w:r>
          </w:p>
        </w:tc>
        <w:tc>
          <w:tcPr>
            <w:tcW w:type="dxa" w:w="7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确认三专业可上线题目清单、测评与关卡映射；核对解析、指南／TNM版本、病例关联、使用授权及审核更新责任。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跨端承接</w:t>
            </w:r>
          </w:p>
        </w:tc>
        <w:tc>
          <w:tcPr>
            <w:tcW w:type="dxa" w:w="7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确定大查房打开位置、账号与权益识别、返回路径；明确是否涉及APP进度互通。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业务指标</w:t>
            </w:r>
          </w:p>
        </w:tc>
        <w:tc>
          <w:tcPr>
            <w:tcW w:type="dxa" w:w="7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以付费人数、销售额为主要指标；统计周期、退款口径、去重方式及目标值待定，不新增已承诺的数据看板。</w:t>
            </w:r>
          </w:p>
        </w:tc>
      </w:tr>
    </w:tbl>
    <w:p>
      <w:pPr>
        <w:spacing w:before="120"/>
      </w:pPr>
      <w:r>
        <w:t>以上未定项不影响本轮评审已确认的产品方向；涉及收费边界、内容发布和跨端承接的规则，需在对应功能上线前补齐。</w:t>
      </w:r>
    </w:p>
    <w:sectPr w:rsidR="00FC693F" w:rsidRPr="0006063C" w:rsidSect="00034616"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83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83" w:lineRule="auto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3" w:lineRule="auto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83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