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00" w:line="300" w:lineRule="auto"/>
      </w:pPr>
      <w:r>
        <w:rPr>
          <w:rFonts w:ascii="Calibri" w:hAnsi="Calibri" w:eastAsia="Microsoft YaHei"/>
          <w:b/>
          <w:color w:val="1F4D78"/>
          <w:sz w:val="44"/>
        </w:rPr>
        <w:t>胃癌免疫治疗与胆管炎</w:t>
      </w:r>
    </w:p>
    <w:p>
      <w:pPr>
        <w:keepNext/>
        <w:spacing w:before="0" w:after="160" w:line="300" w:lineRule="auto"/>
      </w:pPr>
      <w:r>
        <w:rPr>
          <w:rFonts w:ascii="Calibri" w:hAnsi="Calibri" w:eastAsia="Microsoft YaHei"/>
          <w:b/>
          <w:color w:val="2E74B5"/>
          <w:sz w:val="24"/>
        </w:rPr>
        <w:t>模拟查房 · 5道单项选择题</w:t>
      </w:r>
    </w:p>
    <w:p>
      <w:pPr>
        <w:keepNext/>
        <w:spacing w:before="0" w:after="200" w:line="300" w:lineRule="auto"/>
      </w:pPr>
      <w:r>
        <w:rPr>
          <w:rFonts w:ascii="Calibri" w:hAnsi="Calibri" w:eastAsia="Microsoft YaHei"/>
          <w:b w:val="0"/>
          <w:color w:val="667085"/>
          <w:sz w:val="19"/>
        </w:rPr>
        <w:t>题目｜A–D选项｜参考答案｜简要解析 · 优化预览版</w:t>
      </w:r>
    </w:p>
    <w:tbl>
      <w:tblPr>
        <w:tblW w:type="dxa" w:w="9360"/>
        <w:jc w:val="left"/>
        <w:tblBorders>
          <w:top w:val="single" w:sz="4" w:space="0" w:color="E3E8EF"/>
          <w:left w:val="single" w:sz="4" w:space="0" w:color="E3E8EF"/>
          <w:bottom w:val="single" w:sz="4" w:space="0" w:color="E3E8EF"/>
          <w:right w:val="single" w:sz="4" w:space="0" w:color="E3E8EF"/>
          <w:insideH w:val="single" w:sz="4" w:space="0" w:color="E3E8EF"/>
          <w:insideV w:val="single" w:sz="4" w:space="0" w:color="E3E8EF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F5F7FA" w:val="clear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keepNext w:val="0"/>
              <w:spacing w:before="0" w:after="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用途说明：</w:t>
            </w:r>
            <w:r>
              <w:rPr>
                <w:rFonts w:ascii="Calibri" w:hAnsi="Calibri" w:eastAsia="Microsoft YaHei"/>
                <w:b w:val="0"/>
                <w:color w:val="667085"/>
                <w:sz w:val="18"/>
              </w:rPr>
              <w:t>仅用于医学教学与临床思维训练，不替代个体化诊疗决策。</w:t>
            </w:r>
          </w:p>
        </w:tc>
      </w:tr>
    </w:tbl>
    <w:p>
      <w:pPr>
        <w:keepNext w:val="0"/>
        <w:spacing w:before="0" w:after="0" w:line="300" w:lineRule="auto"/>
      </w:pP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Q1  </w:t>
      </w:r>
      <w:r>
        <w:rPr>
          <w:rFonts w:ascii="Calibri" w:hAnsi="Calibri" w:eastAsia="Microsoft YaHei"/>
          <w:b/>
          <w:color w:val="1F4D78"/>
          <w:sz w:val="22"/>
        </w:rPr>
        <w:t>分子诊断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复发后的免疫治疗评估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67岁男性，胃癌术后复发，病例记载HER2阴性、MSI-H，随后接受帕博利珠单抗。为核对这一用药依据，需追溯原始分子报告。关于MSI与MMR检测，哪项表述最准确？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免疫组化评估MMR蛋白，PCR评估微卫星不稳定性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免疫组化评估微卫星位点，PCR评估MMR蛋白表达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免疫组化保留表达可判MSI-H，PCR用于补充定量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免疫组化缺失表达可判MSS，PCR用于确定原发灶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A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免疫组化评估MMR蛋白，PCR评估微卫星不稳定性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MMR免疫组化检测的是错配修复蛋白表达；MSI-PCR检测的是微卫星位点的不稳定性。两者相关，但并非同一检测。应核对方法、质控及原始结论，不能将病例中的“MSI-H”改写为某次已完成的MMR免疫组化结果。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分清检测对象，并保留原始报告的证据边界。</w:t>
            </w:r>
          </w:p>
        </w:tc>
      </w:tr>
    </w:tbl>
    <w:p>
      <w:pPr>
        <w:spacing w:before="65" w:after="0" w:line="240" w:lineRule="auto"/>
      </w:pPr>
      <w:hyperlink r:id="rId11">
        <w:r>
          <w:rPr>
            <w:rFonts w:ascii="Calibri" w:hAnsi="Calibri" w:eastAsia="Microsoft YaHei"/>
            <w:color w:val="596C85"/>
            <w:sz w:val="17"/>
          </w:rPr>
          <w:t>参考：CAP：MMR/MSI检测指南（2022）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Q2  </w:t>
      </w:r>
      <w:r>
        <w:rPr>
          <w:rFonts w:ascii="Calibri" w:hAnsi="Calibri" w:eastAsia="Microsoft YaHei"/>
          <w:b/>
          <w:color w:val="1F4D78"/>
          <w:sz w:val="22"/>
        </w:rPr>
        <w:t>疗效复评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帕博利珠单抗治疗13个疗程后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患者治疗13个疗程后，CT描述复发淋巴结“几乎完全消失”。现有摘要未列出各淋巴结短径及全部病灶评估结果。若要按RECIST 1.1正式登记为完全缓解，最需要核对什么？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病灶长径缩小比例，以及同期肿瘤标志物是否正常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最大淋巴结是否消失，以及临床症状是否完全缓解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各病理性淋巴结短径，以及其他病灶和新病灶情况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既往最佳疗效类别，以及本次是否已达到治疗年限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各病理性淋巴结短径，以及其他病灶和新病灶情况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“几乎消失”不是可直接登记的RECIST类别。完全缓解要求病理性淋巴结短径降至10 mm以下，并满足其他病灶及新病灶的整体评估条件。临床改善或标志物正常不能替代这些要求，影像缓解也不等同于病理完全缓解。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疗效类别由完整测量与全病灶评估确定，而非描述性措辞。</w:t>
            </w:r>
          </w:p>
        </w:tc>
      </w:tr>
    </w:tbl>
    <w:p>
      <w:pPr>
        <w:spacing w:before="65" w:after="0" w:line="240" w:lineRule="auto"/>
      </w:pPr>
      <w:hyperlink r:id="rId12">
        <w:r>
          <w:rPr>
            <w:rFonts w:ascii="Calibri" w:hAnsi="Calibri" w:eastAsia="Microsoft YaHei"/>
            <w:color w:val="596C85"/>
            <w:sz w:val="17"/>
          </w:rPr>
          <w:t>参考：RECIST工作组：RECIST 1.1及淋巴结评估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Q3  </w:t>
      </w:r>
      <w:r>
        <w:rPr>
          <w:rFonts w:ascii="Calibri" w:hAnsi="Calibri" w:eastAsia="Microsoft YaHei"/>
          <w:b/>
          <w:color w:val="1F4D78"/>
          <w:sz w:val="22"/>
        </w:rPr>
        <w:t>不良反应鉴别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帕博利珠单抗治疗15个疗程后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患者出现乏力、发热、黄疸，ALP和GGT明显升高，转氨酶仅轻度升高；CT见胆管扩张、胆囊壁增厚，未显示明确梗阻。在同步排查感染等病因时，为进一步评价胆管损伤，最有针对性的影像检查是？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行肝胆超声联合弹性成像，重点评价肝纤维化程度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行肝胆MRI联合MRCP，重点评价胆管壁与狭窄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行腹部CT血管成像检查，重点评价门静脉血流受阻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行全身PET-CT复查，重点评价胆管周围代谢变化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B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行肝胆MRI联合MRCP，重点评价胆管壁与狭窄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这一组合提示胆汁淤积型损伤，MRI联合MRCP有助于评价胆管扩张、狭窄及管壁改变。CT未显示明确梗阻并不等于病因已确定；仍需结合感染检查、其他药物史及必要的内镜或病理评估，鉴别免疫相关胆管炎。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按肝胆损伤模式选择检查，不能凭免疫用药史直接定因。</w:t>
            </w:r>
          </w:p>
        </w:tc>
      </w:tr>
    </w:tbl>
    <w:p>
      <w:pPr>
        <w:spacing w:before="65" w:after="0" w:line="240" w:lineRule="auto"/>
      </w:pPr>
      <w:hyperlink r:id="rId13">
        <w:r>
          <w:rPr>
            <w:rFonts w:ascii="Calibri" w:hAnsi="Calibri" w:eastAsia="Microsoft YaHei"/>
            <w:color w:val="596C85"/>
            <w:sz w:val="17"/>
          </w:rPr>
          <w:t>参考：中国专家共识：MRI评价腹部免疫相关不良反应（2024），胆管炎部分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Q4  </w:t>
      </w:r>
      <w:r>
        <w:rPr>
          <w:rFonts w:ascii="Calibri" w:hAnsi="Calibri" w:eastAsia="Microsoft YaHei"/>
          <w:b/>
          <w:color w:val="1F4D78"/>
          <w:sz w:val="22"/>
        </w:rPr>
        <w:t>证据适用性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确诊免疫相关硬化性胆管炎后的治疗复盘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本例在氢化可的松减量后病情反复，调整为泼尼松龙后改善。讨论其他类似患者时，如何解释这一个案观察最严谨？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改善提示泼尼松龙疗效更强，可优先替代同类激素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反复提示病因判断存在偏差，应重新归类为肿瘤进展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改善提示胆管结构已经恢复，可据此缩短后续监测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改善反映整个调整过程获益，尚不能证明药物间优劣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D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改善反映整个调整过程获益，尚不能证明药物间优劣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个案同时涉及药物、等效剂量、减量速度及病程变化，不能分离出某一种激素的比较疗效。胆管型免疫损伤可能对激素反应不充分；再处理需复核感染、梗阻和损伤活动性，由专科团队制定方案，而非复制个案换药顺序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个案中的时间先后关系，不等于药物优越性的因果证据。</w:t>
            </w:r>
          </w:p>
        </w:tc>
      </w:tr>
    </w:tbl>
    <w:p>
      <w:pPr>
        <w:spacing w:before="65" w:after="0" w:line="240" w:lineRule="auto"/>
      </w:pPr>
      <w:hyperlink r:id="rId14">
        <w:r>
          <w:rPr>
            <w:rFonts w:ascii="Calibri" w:hAnsi="Calibri" w:eastAsia="Microsoft YaHei"/>
            <w:color w:val="596C85"/>
            <w:sz w:val="17"/>
          </w:rPr>
          <w:t>参考：SITC：免疫检查点抑制剂相关不良反应指南（2021），胆道毒性</w:t>
        </w:r>
      </w:hyperlink>
    </w:p>
    <w:p>
      <w:r>
        <w:br w:type="page"/>
      </w:r>
    </w:p>
    <w:p>
      <w:pPr>
        <w:keepNext/>
        <w:spacing w:before="100" w:after="80" w:line="300" w:lineRule="auto"/>
      </w:pPr>
      <w:r>
        <w:rPr>
          <w:rFonts w:ascii="Calibri" w:hAnsi="Calibri" w:eastAsia="Microsoft YaHei"/>
          <w:b/>
          <w:color w:val="2E74B5"/>
          <w:sz w:val="32"/>
        </w:rPr>
        <w:t xml:space="preserve">Q5  </w:t>
      </w:r>
      <w:r>
        <w:rPr>
          <w:rFonts w:ascii="Calibri" w:hAnsi="Calibri" w:eastAsia="Microsoft YaHei"/>
          <w:b/>
          <w:color w:val="1F4D78"/>
          <w:sz w:val="22"/>
        </w:rPr>
        <w:t>随访管理</w:t>
      </w:r>
    </w:p>
    <w:p>
      <w:pPr>
        <w:keepNext/>
        <w:spacing w:before="0" w:after="180" w:line="300" w:lineRule="auto"/>
      </w:pPr>
      <w:r>
        <w:rPr>
          <w:rFonts w:ascii="Calibri" w:hAnsi="Calibri" w:eastAsia="Microsoft YaHei"/>
          <w:b w:val="0"/>
          <w:color w:val="667085"/>
          <w:sz w:val="18"/>
        </w:rPr>
        <w:t>免疫相关胆管炎发生约8个月后 · 当前教学复盘</w:t>
      </w:r>
    </w:p>
    <w:p>
      <w:pPr>
        <w:keepNext/>
        <w:spacing w:before="0" w:after="180" w:line="324" w:lineRule="auto"/>
      </w:pPr>
      <w:r>
        <w:rPr>
          <w:rFonts w:ascii="Calibri" w:hAnsi="Calibri" w:eastAsia="Microsoft YaHei"/>
          <w:b/>
          <w:color w:val="1D2939"/>
          <w:sz w:val="23"/>
        </w:rPr>
        <w:t>随访时患者临床状况良好，激素逐渐减量，肿瘤未见进展；影像显示胆管壁改变减轻，但胆总管扩张仍存在。对这一残留影像表现，最合适的判断是？</w:t>
      </w:r>
    </w:p>
    <w:tbl>
      <w:tblPr>
        <w:tblW w:type="dxa" w:w="9360"/>
        <w:jc w:val="left"/>
        <w:tblBorders>
          <w:top w:val="single" w:sz="4" w:space="0" w:color="D8E1EA"/>
          <w:left w:val="single" w:sz="4" w:space="0" w:color="D8E1EA"/>
          <w:bottom w:val="single" w:sz="4" w:space="0" w:color="D8E1EA"/>
          <w:right w:val="single" w:sz="4" w:space="0" w:color="D8E1EA"/>
          <w:insideH w:val="single" w:sz="4" w:space="0" w:color="D8E1EA"/>
          <w:insideV w:val="single" w:sz="4" w:space="0" w:color="D8E1EA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A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扩张提示胆道肿瘤性进展，应优先调整抗肿瘤治疗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B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壁厚减轻提示炎症已消退，可据此结束肝胆随访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C</w:t>
            </w:r>
          </w:p>
        </w:tc>
        <w:tc>
          <w:tcPr>
            <w:tcW w:type="dxa" w:w="8740"/>
            <w:shd w:fill="FFFFFF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结构恢复可能滞后于症状，应结合肝胆指标动态判断</w:t>
            </w:r>
          </w:p>
        </w:tc>
      </w:tr>
      <w:tr>
        <w:tc>
          <w:tcPr>
            <w:tcW w:type="dxa" w:w="620"/>
            <w:shd w:fill="EAF2F8" w:val="clear"/>
            <w:tcMar>
              <w:top w:w="95" w:type="dxa"/>
              <w:start w:w="80" w:type="dxa"/>
              <w:bottom w:w="95" w:type="dxa"/>
              <w:end w:w="60" w:type="dxa"/>
            </w:tcMar>
            <w:vAlign w:val="center"/>
          </w:tcPr>
          <w:p>
            <w:pPr>
              <w:keepNext w:val="0"/>
              <w:spacing w:before="0" w:after="0" w:line="300" w:lineRule="auto"/>
              <w:jc w:val="center"/>
            </w:pPr>
            <w:r>
              <w:rPr>
                <w:rFonts w:ascii="Calibri" w:hAnsi="Calibri" w:eastAsia="Microsoft YaHei"/>
                <w:b/>
                <w:color w:val="2E74B5"/>
                <w:sz w:val="21"/>
              </w:rPr>
              <w:t>D</w:t>
            </w:r>
          </w:p>
        </w:tc>
        <w:tc>
          <w:tcPr>
            <w:tcW w:type="dxa" w:w="8740"/>
            <w:shd w:fill="FAFBFC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 w:val="0"/>
                <w:color w:val="1D2939"/>
                <w:sz w:val="21"/>
              </w:rPr>
              <w:t>扩张提示免疫损伤仍加重，应按影像程度追加激素</w:t>
            </w:r>
          </w:p>
        </w:tc>
      </w:tr>
    </w:tbl>
    <w:p>
      <w:pPr>
        <w:keepNext w:val="0"/>
        <w:spacing w:before="0" w:after="0" w:line="300" w:lineRule="auto"/>
      </w:pPr>
    </w:p>
    <w:tbl>
      <w:tblPr>
        <w:tblW w:type="dxa" w:w="9360"/>
        <w:jc w:val="left"/>
        <w:tblBorders>
          <w:top w:val="single" w:sz="8" w:space="0" w:color="AFCBE2"/>
          <w:left w:val="single" w:sz="8" w:space="0" w:color="AFCBE2"/>
          <w:bottom w:val="single" w:sz="8" w:space="0" w:color="AFCBE2"/>
          <w:right w:val="single" w:sz="8" w:space="0" w:color="AFCBE2"/>
          <w:insideH w:val="single" w:sz="8" w:space="0" w:color="AFCBE2"/>
          <w:insideV w:val="single" w:sz="8" w:space="0" w:color="AFCBE2"/>
        </w:tblBorders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AF2F8" w:val="clea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参考答案：</w:t>
            </w:r>
            <w:r>
              <w:rPr>
                <w:rFonts w:ascii="Calibri" w:hAnsi="Calibri" w:eastAsia="Microsoft YaHei"/>
                <w:b/>
                <w:color w:val="2E74B5"/>
                <w:sz w:val="24"/>
              </w:rPr>
              <w:t>C</w:t>
            </w:r>
            <w:r>
              <w:rPr>
                <w:rFonts w:ascii="Calibri" w:hAnsi="Calibri" w:eastAsia="Microsoft YaHei"/>
                <w:b/>
                <w:color w:val="1F4D78"/>
                <w:sz w:val="21"/>
              </w:rPr>
              <w:t xml:space="preserve">  结构恢复可能滞后于症状，应结合肝胆指标动态判断</w:t>
            </w:r>
          </w:p>
          <w:p>
            <w:pPr>
              <w:keepNext w:val="0"/>
              <w:spacing w:before="0" w:after="80" w:line="300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解析：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本例的肿瘤控制与胆道结构异常可以并存。持续扩张本身既不能证明肿瘤进展，也不能单独决定加大免疫抑制。应联合症状、胆红素和胆汁淤积酶谱、感染征象及连续影像，区分残留结构改变与持续活动性损伤。</w:t>
            </w:r>
          </w:p>
          <w:p>
            <w:pPr>
              <w:keepNext w:val="0"/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教学要点：</w:t>
            </w:r>
            <w:r>
              <w:rPr>
                <w:rFonts w:ascii="Calibri" w:hAnsi="Calibri" w:eastAsia="Microsoft YaHei"/>
                <w:b w:val="0"/>
                <w:color w:val="344054"/>
                <w:sz w:val="19"/>
              </w:rPr>
              <w:t>分别评估肿瘤状态、胆道结构和炎症活动性。</w:t>
            </w:r>
          </w:p>
        </w:tc>
      </w:tr>
    </w:tbl>
    <w:p>
      <w:pPr>
        <w:spacing w:before="65" w:after="0" w:line="240" w:lineRule="auto"/>
      </w:pPr>
      <w:hyperlink r:id="rId13">
        <w:r>
          <w:rPr>
            <w:rFonts w:ascii="Calibri" w:hAnsi="Calibri" w:eastAsia="Microsoft YaHei"/>
            <w:color w:val="596C85"/>
            <w:sz w:val="17"/>
          </w:rPr>
          <w:t>参考：中国专家共识：MRI评价腹部免疫相关不良反应（2024）＋本例随访事实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第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2E74B5"/>
        <w:sz w:val="17"/>
      </w:rPr>
      <w:t>ONCOROUNDS  ·  模拟查房题集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cap.org/cap-guidelines/mismatch-repair-and-microsatellite-instability-testing-for-immune-checkpoint-inhibitor-therapy/" TargetMode="External"/><Relationship Id="rId12" Type="http://schemas.openxmlformats.org/officeDocument/2006/relationships/hyperlink" Target="https://recist.eortc.org/recist-1-1/" TargetMode="External"/><Relationship Id="rId13" Type="http://schemas.openxmlformats.org/officeDocument/2006/relationships/hyperlink" Target="https://doi.org/10.12015/issn.1674-8034.2024.12.004" TargetMode="External"/><Relationship Id="rId14" Type="http://schemas.openxmlformats.org/officeDocument/2006/relationships/hyperlink" Target="https://jitc.bmj.com/content/9/6/e0024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胃癌免疫治疗与胆管炎 · 模拟查房5题</dc:title>
  <dc:subject>当前教学复盘；优化预览版；CASE-66FC4AA7</dc:subject>
  <dc:creator>OncoRounds</dc:creator>
  <cp:keywords>ALK; 肺腺鳞癌; NSCLC; 模拟查房; 单项选择题</cp:keywords>
  <dc:description>generated by python-docx</dc:description>
  <cp:lastModifiedBy/>
  <cp:revision>1</cp:revision>
  <dcterms:created xsi:type="dcterms:W3CDTF">2013-12-23T23:15:00Z</dcterms:created>
  <dcterms:modified xsi:type="dcterms:W3CDTF">2026-09-04T06:16:36Z</dcterms:modified>
  <cp:category/>
</cp:coreProperties>
</file>