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44"/>
        </w:rPr>
        <w:t>胃食管结合部腺癌</w:t>
      </w:r>
    </w:p>
    <w:p>
      <w:pPr>
        <w:keepNext/>
        <w:spacing w:before="0" w:after="160" w:line="300" w:lineRule="auto"/>
      </w:pPr>
      <w:r>
        <w:rPr>
          <w:rFonts w:ascii="Calibri" w:hAnsi="Calibri" w:eastAsia="Microsoft YaHei"/>
          <w:b/>
          <w:color w:val="2E74B5"/>
          <w:sz w:val="24"/>
        </w:rPr>
        <w:t>模拟查房 · 5道单项选择题</w:t>
      </w:r>
    </w:p>
    <w:p>
      <w:pPr>
        <w:keepNext/>
        <w:spacing w:before="0" w:after="200" w:line="300" w:lineRule="auto"/>
      </w:pPr>
      <w:r>
        <w:rPr>
          <w:rFonts w:ascii="Calibri" w:hAnsi="Calibri" w:eastAsia="Microsoft YaHei"/>
          <w:b w:val="0"/>
          <w:color w:val="667085"/>
          <w:sz w:val="19"/>
        </w:rPr>
        <w:t>题目｜A–D选项｜参考答案｜简要解析 · 优化预览版</w:t>
      </w:r>
    </w:p>
    <w:tbl>
      <w:tblPr>
        <w:tblW w:type="dxa" w:w="9360"/>
        <w:jc w:val="left"/>
        <w:tblBorders>
          <w:top w:val="single" w:sz="4" w:space="0" w:color="E3E8EF"/>
          <w:left w:val="single" w:sz="4" w:space="0" w:color="E3E8EF"/>
          <w:bottom w:val="single" w:sz="4" w:space="0" w:color="E3E8EF"/>
          <w:right w:val="single" w:sz="4" w:space="0" w:color="E3E8EF"/>
          <w:insideH w:val="single" w:sz="4" w:space="0" w:color="E3E8EF"/>
          <w:insideV w:val="single" w:sz="4" w:space="0" w:color="E3E8EF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5F7FA" w:val="clea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用途说明：</w:t>
            </w:r>
            <w:r>
              <w:rPr>
                <w:rFonts w:ascii="Calibri" w:hAnsi="Calibri" w:eastAsia="Microsoft YaHei"/>
                <w:b w:val="0"/>
                <w:color w:val="667085"/>
                <w:sz w:val="18"/>
              </w:rPr>
              <w:t>仅用于医学教学与临床思维训练，不替代个体化诊疗决策。</w:t>
            </w:r>
          </w:p>
        </w:tc>
      </w:tr>
    </w:tbl>
    <w:p>
      <w:pPr>
        <w:keepNext w:val="0"/>
        <w:spacing w:before="0" w:after="0" w:line="300" w:lineRule="auto"/>
      </w:pP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Q1  </w:t>
      </w:r>
      <w:r>
        <w:rPr>
          <w:rFonts w:ascii="Calibri" w:hAnsi="Calibri" w:eastAsia="Microsoft YaHei"/>
          <w:b/>
          <w:color w:val="1F4D78"/>
          <w:sz w:val="22"/>
        </w:rPr>
        <w:t>临床分期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初始分期：腋窝PET阳性病灶核实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54岁男性，GEJ腺癌初步分期cT3N2M0。PET发现左腋窝淋巴结摄取增高，活检提示与疫苗接种相关的反应性改变。仅针对这一腋窝病灶，下列哪项解释最合理？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代谢增高更支持肿瘤转移，应据此按远处转移处理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现有病理支持反应性改变，不宜仅凭PET判定转移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反应性改变支持分期降低，可据此撤销区域淋巴结分期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阴性病理支持免除全身复查，可直接进入局部治疗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B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现有病理支持反应性改变，不宜仅凭PET判定转移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FDG摄取增高并不特异于肿瘤。本例该病灶已有反应性病理解释，不应仅凭PET将其作为转移证据；若影像与取材仍不一致，应复核对应部位及充分性。这一结论只针对腋窝病灶，不能替代其他区域和远处病灶的完整分期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分期应整合影像与病理，且单个病灶的结论不可无限扩大。</w:t>
            </w:r>
          </w:p>
        </w:tc>
      </w:tr>
    </w:tbl>
    <w:p>
      <w:pPr>
        <w:spacing w:before="65" w:after="0" w:line="240" w:lineRule="auto"/>
      </w:pPr>
      <w:hyperlink r:id="rId11">
        <w:r>
          <w:rPr>
            <w:rFonts w:ascii="Calibri" w:hAnsi="Calibri" w:eastAsia="Microsoft YaHei"/>
            <w:color w:val="596C85"/>
            <w:sz w:val="17"/>
          </w:rPr>
          <w:t>参考：Onkopedia：食管癌指南（2024），诊断与分期＋本例病理事实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Q2  </w:t>
      </w:r>
      <w:r>
        <w:rPr>
          <w:rFonts w:ascii="Calibri" w:hAnsi="Calibri" w:eastAsia="Microsoft YaHei"/>
          <w:b/>
          <w:color w:val="1F4D78"/>
          <w:sz w:val="22"/>
        </w:rPr>
        <w:t>辅助治疗证据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新辅助放化疗及手术后：ypT0N0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患者完成新辅助放化疗及手术，切除标本达到pCR（ypT0N0），19枚淋巴结均无肿瘤。若仅依据CheckMate 577决定是否给予辅助纳武利尤单抗，最准确的结论是？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基线属局部晚期人群，足以按该研究支持常规辅助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治疗前存在淋巴结受累，足以按残留病变人群处理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术前PD-L1呈阳性表达，足以替代残留病变入组要求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术后未发现残留病变，不在该研究直接验证的人群内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D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术后未发现残留病变，不在该研究直接验证的人群内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CheckMate 577纳入的是新辅助放化疗后R0切除、仍有病理残留的患者，未纳入pCR患者。不能仅依据该研究为ypT0N0患者确立常规辅助纳武利尤单抗的获益；这也不等于证明pCR患者在任何情境下均不能接受免疫治疗。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辅助治疗证据的关键边界是术后病理残留，而非基线分期。</w:t>
            </w:r>
          </w:p>
        </w:tc>
      </w:tr>
    </w:tbl>
    <w:p>
      <w:pPr>
        <w:spacing w:before="65" w:after="0" w:line="240" w:lineRule="auto"/>
      </w:pPr>
      <w:hyperlink r:id="rId12">
        <w:r>
          <w:rPr>
            <w:rFonts w:ascii="Calibri" w:hAnsi="Calibri" w:eastAsia="Microsoft YaHei"/>
            <w:color w:val="596C85"/>
            <w:sz w:val="17"/>
          </w:rPr>
          <w:t>参考：CheckMate 577原始研究，NEJM（2021）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Q3  </w:t>
      </w:r>
      <w:r>
        <w:rPr>
          <w:rFonts w:ascii="Calibri" w:hAnsi="Calibri" w:eastAsia="Microsoft YaHei"/>
          <w:b/>
          <w:color w:val="1F4D78"/>
          <w:sz w:val="22"/>
        </w:rPr>
        <w:t>复发后治疗选择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术后约10个月：肝活检证实转移性复发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患者复发后准备开始转移阶段的一线治疗，HER2阴性、pMMR、PD-L1 CPS为5–9，同时CLDN18.2阳性。依据CheckMate 649，下列哪项最直接支持讨论纳武利尤单抗联合含铂化疗？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HER2阴性且CPS≥5，与研究主要疗效分析人群相符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pMMR且既往达到pCR，提示免疫单药可替代联合化疗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CLDN18.2表达阳性，提示该研究的免疫疗效更为显著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复发前无辅助免疫治疗，提示无需再评估化疗适用性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A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HER2阴性且CPS≥5，与研究主要疗效分析人群相符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CheckMate 649在HER2非阳性晚期胃/GEJ/食管腺癌中评估纳武利尤单抗联合化疗，CPS≥5是主要疗效分析人群。本例提供了匹配依据；是否复用既往化疗仍需考虑停药间隔及耐受性。pMMR不排除联合免疫获益，CLDN18.2则属于另一治疗方向的标志物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把药物获益与对应的研究人群匹配，不混用不同靶点。</w:t>
            </w:r>
          </w:p>
        </w:tc>
      </w:tr>
    </w:tbl>
    <w:p>
      <w:pPr>
        <w:spacing w:before="65" w:after="0" w:line="240" w:lineRule="auto"/>
      </w:pPr>
      <w:hyperlink r:id="rId13">
        <w:r>
          <w:rPr>
            <w:rFonts w:ascii="Calibri" w:hAnsi="Calibri" w:eastAsia="Microsoft YaHei"/>
            <w:color w:val="596C85"/>
            <w:sz w:val="17"/>
          </w:rPr>
          <w:t>参考：CheckMate 649原始研究，Lancet（2021）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Q4  </w:t>
      </w:r>
      <w:r>
        <w:rPr>
          <w:rFonts w:ascii="Calibri" w:hAnsi="Calibri" w:eastAsia="Microsoft YaHei"/>
          <w:b/>
          <w:color w:val="1F4D78"/>
          <w:sz w:val="22"/>
        </w:rPr>
        <w:t>伴随诊断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复发后双阳性病例的靶向治疗评估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病例摘要仅记载“CLDN18.2阳性细胞比例＞75%”，未列染色强度。若参照SPOTLIGHT及FDA相应标签评估佐妥昔单抗的检测条件，首先应向病理科核实哪项信息？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是否存在CLDN18基因扩增，以及拷贝数达到何种阈值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是否存在CLDN18基因融合，以及融合伴侣属于何种类型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是否为合规检测的中至强膜染色，以及对应阳性细胞比例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是否同时存在HER2蛋白高表达，以及两者是否同区域分布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C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是否为合规检测的中至强膜染色，以及对应阳性细胞比例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相应试验及FDA标签将阳性定义为至少75%的肿瘤细胞呈中至强膜染色，并有规定的检测要求。仅有阳性比例不足以确认完整条件；应核对原始报告，而不是假定强度已达标。题目讨论的是研究/标签检测标准，不替代所在地适应证核查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伴随诊断阈值同时包含染色部位、强度、比例和方法。</w:t>
            </w:r>
          </w:p>
        </w:tc>
      </w:tr>
    </w:tbl>
    <w:p>
      <w:pPr>
        <w:spacing w:before="65" w:after="0" w:line="240" w:lineRule="auto"/>
      </w:pPr>
      <w:hyperlink r:id="rId14">
        <w:r>
          <w:rPr>
            <w:rFonts w:ascii="Calibri" w:hAnsi="Calibri" w:eastAsia="Microsoft YaHei"/>
            <w:color w:val="596C85"/>
            <w:sz w:val="17"/>
          </w:rPr>
          <w:t>参考：FDA：VYLOY标签生物标志物与SPOTLIGHT/GLOW入组定义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Q5  </w:t>
      </w:r>
      <w:r>
        <w:rPr>
          <w:rFonts w:ascii="Calibri" w:hAnsi="Calibri" w:eastAsia="Microsoft YaHei"/>
          <w:b/>
          <w:color w:val="1F4D78"/>
          <w:sz w:val="22"/>
        </w:rPr>
        <w:t>研究证据比较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PD-L1与CLDN18.2双阳性的证据讨论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MDT讨论本例双阳性患者的治疗证据。若仅比较CheckMate 649与SPOTLIGHT各自公布的风险比，能否据此认定免疫联合化疗或CLDN18.2靶向联合化疗对本例更优？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可按两项研究OS风险比的大小，排序两方案的优先级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不宜直接比较，入组筛选与对照条件不同会影响结果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可按两项研究PFS风险比的大小，排序两方案的优先级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可按两项研究治疗组中位生存，排序两方案的优先级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B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不宜直接比较，入组筛选与对照条件不同会影响结果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两项研究并非两方案之间的随机头对头比较，生物标志物筛选、患者构成及研究条件不同。直接比较风险比或中位生存容易混入研究间差异。对本例应分别核对适用证据，再结合毒性、既往治疗、可及性和患者偏好讨论，不能用简单数值排名代替决策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各自优于化疗，不等于两种联合方案之间已分出优劣。</w:t>
            </w:r>
          </w:p>
        </w:tc>
      </w:tr>
    </w:tbl>
    <w:p>
      <w:pPr>
        <w:spacing w:before="65" w:after="0" w:line="240" w:lineRule="auto"/>
      </w:pPr>
      <w:hyperlink r:id="rId13">
        <w:r>
          <w:rPr>
            <w:rFonts w:ascii="Calibri" w:hAnsi="Calibri" w:eastAsia="Microsoft YaHei"/>
            <w:color w:val="596C85"/>
            <w:sz w:val="17"/>
          </w:rPr>
          <w:t>参考：CheckMate 649：研究设计与入组人群</w:t>
        </w:r>
      </w:hyperlink>
    </w:p>
    <w:p>
      <w:pPr>
        <w:spacing w:before="65" w:after="0" w:line="240" w:lineRule="auto"/>
      </w:pPr>
      <w:hyperlink r:id="rId15">
        <w:r>
          <w:rPr>
            <w:rFonts w:ascii="Calibri" w:hAnsi="Calibri" w:eastAsia="Microsoft YaHei"/>
            <w:color w:val="596C85"/>
            <w:sz w:val="17"/>
          </w:rPr>
          <w:t>参考：FDA：SPOTLIGHT/GLOW研究概览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2E74B5"/>
        <w:sz w:val="17"/>
      </w:rPr>
      <w:t>ONCOROUNDS  ·  模拟查房题集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nkopedia-guidelines.info/en/onkopedia/archive/guidelines/esophageal-cancer/version-02122025T174721/%40%40guideline/html/index.html" TargetMode="External"/><Relationship Id="rId12" Type="http://schemas.openxmlformats.org/officeDocument/2006/relationships/hyperlink" Target="https://www.nejm.org/doi/full/10.1056/NEJMoa2032125" TargetMode="External"/><Relationship Id="rId13" Type="http://schemas.openxmlformats.org/officeDocument/2006/relationships/hyperlink" Target="https://pmc.ncbi.nlm.nih.gov/articles/PMC8436782/" TargetMode="External"/><Relationship Id="rId14" Type="http://schemas.openxmlformats.org/officeDocument/2006/relationships/hyperlink" Target="https://www.fda.gov/media/124784/download?attachment=" TargetMode="External"/><Relationship Id="rId15" Type="http://schemas.openxmlformats.org/officeDocument/2006/relationships/hyperlink" Target="https://www.fda.gov/drugs/drug-approvals-and-databases/drug-trials-snapshots-vyl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胃食管结合部腺癌 · 模拟查房5题</dc:title>
  <dc:subject>当前教学复盘；优化预览版；CASE-9088ED9B</dc:subject>
  <dc:creator>OncoRounds</dc:creator>
  <cp:keywords>ALK; 肺腺鳞癌; NSCLC; 模拟查房; 单项选择题</cp:keywords>
  <dc:description>generated by python-docx</dc:description>
  <cp:lastModifiedBy/>
  <cp:revision>1</cp:revision>
  <dcterms:created xsi:type="dcterms:W3CDTF">2013-12-23T23:15:00Z</dcterms:created>
  <dcterms:modified xsi:type="dcterms:W3CDTF">2026-09-04T06:16:36Z</dcterms:modified>
  <cp:category/>
</cp:coreProperties>
</file>