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44"/>
        </w:rPr>
        <w:t>食管鳞癌全程管理</w:t>
      </w:r>
    </w:p>
    <w:p>
      <w:pPr>
        <w:keepNext/>
        <w:spacing w:before="0" w:after="160" w:line="300" w:lineRule="auto"/>
      </w:pPr>
      <w:r>
        <w:rPr>
          <w:rFonts w:ascii="Calibri" w:hAnsi="Calibri" w:eastAsia="Microsoft YaHei"/>
          <w:b/>
          <w:color w:val="2E74B5"/>
          <w:sz w:val="24"/>
        </w:rPr>
        <w:t>模拟查房 · 5道单项选择题</w:t>
      </w:r>
    </w:p>
    <w:p>
      <w:pPr>
        <w:keepNext/>
        <w:spacing w:before="0" w:after="200" w:line="300" w:lineRule="auto"/>
      </w:pPr>
      <w:r>
        <w:rPr>
          <w:rFonts w:ascii="Calibri" w:hAnsi="Calibri" w:eastAsia="Microsoft YaHei"/>
          <w:b w:val="0"/>
          <w:color w:val="667085"/>
          <w:sz w:val="19"/>
        </w:rPr>
        <w:t>题目｜A–D选项｜参考答案｜简要解析 · 优化预览版</w:t>
      </w:r>
    </w:p>
    <w:tbl>
      <w:tblPr>
        <w:tblW w:type="dxa" w:w="9360"/>
        <w:jc w:val="left"/>
        <w:tblBorders>
          <w:top w:val="single" w:sz="4" w:space="0" w:color="E3E8EF"/>
          <w:left w:val="single" w:sz="4" w:space="0" w:color="E3E8EF"/>
          <w:bottom w:val="single" w:sz="4" w:space="0" w:color="E3E8EF"/>
          <w:right w:val="single" w:sz="4" w:space="0" w:color="E3E8EF"/>
          <w:insideH w:val="single" w:sz="4" w:space="0" w:color="E3E8EF"/>
          <w:insideV w:val="single" w:sz="4" w:space="0" w:color="E3E8EF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5F7FA" w:val="clea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用途说明：</w:t>
            </w:r>
            <w:r>
              <w:rPr>
                <w:rFonts w:ascii="Calibri" w:hAnsi="Calibri" w:eastAsia="Microsoft YaHei"/>
                <w:b w:val="0"/>
                <w:color w:val="667085"/>
                <w:sz w:val="18"/>
              </w:rPr>
              <w:t>仅用于医学教学与临床思维训练，不替代个体化诊疗决策。</w:t>
            </w:r>
          </w:p>
        </w:tc>
      </w:tr>
    </w:tbl>
    <w:p>
      <w:pPr>
        <w:keepNext w:val="0"/>
        <w:spacing w:before="0" w:after="0" w:line="300" w:lineRule="auto"/>
      </w:pP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Q1  </w:t>
      </w:r>
      <w:r>
        <w:rPr>
          <w:rFonts w:ascii="Calibri" w:hAnsi="Calibri" w:eastAsia="Microsoft YaHei"/>
          <w:b/>
          <w:color w:val="1F4D78"/>
          <w:sz w:val="22"/>
        </w:rPr>
        <w:t>综合治疗评估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初始治疗规划：73岁、食管中下段鳞癌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患者73岁，诊断食管中下段鳞状细胞癌，MDT拟评估新辅助治疗后手术路径。在解剖学可切除性之外，哪一组信息最直接影响能否耐受食管切除术？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病灶代谢强度、原发灶长度及区域淋巴结的数量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病理分化程度、鳞癌标志物及原发灶免疫组化结果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心肺功能储备、营养与衰弱状态及重要脏器合并症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治疗后缓解深度、随访时间及肿瘤标志物下降幅度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C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心肺功能储备、营养与衰弱状态及重要脏器合并症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可切除性回答肿瘤能否切除，可手术性还要回答患者能否承受手术。老年患者需综合功能储备、营养、衰弱及合并症评估；年龄本身不能单独作否定依据。治疗后疗效尚未发生，也不能倒推为初始时点已知信息。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解剖学可切除与患者生理可耐受是两个独立维度。</w:t>
            </w:r>
          </w:p>
        </w:tc>
      </w:tr>
    </w:tbl>
    <w:p>
      <w:pPr>
        <w:spacing w:before="65" w:after="0" w:line="240" w:lineRule="auto"/>
      </w:pPr>
      <w:hyperlink r:id="rId11">
        <w:r>
          <w:rPr>
            <w:rFonts w:ascii="Calibri" w:hAnsi="Calibri" w:eastAsia="Microsoft YaHei"/>
            <w:color w:val="596C85"/>
            <w:sz w:val="17"/>
          </w:rPr>
          <w:t>参考：Onkopedia：食管癌指南（2024），可手术性评估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Q2  </w:t>
      </w:r>
      <w:r>
        <w:rPr>
          <w:rFonts w:ascii="Calibri" w:hAnsi="Calibri" w:eastAsia="Microsoft YaHei"/>
          <w:b/>
          <w:color w:val="1F4D78"/>
          <w:sz w:val="22"/>
        </w:rPr>
        <w:t>严重不良反应识别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2021年2月：放化疗联合帕博利珠单抗后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患者出现广泛红色丘疹，继而发生疼痛性皮肤破溃及唇部溃疡、出血结痂，此时尚未完成皮肤专科诊断。下一步最合适的处置是？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暂停免疫用药，紧急评估重症药疹并请皮肤科会诊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先用局部激素，待皮损面积进一步扩大再升级评估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先完成常规抗感染疗程，再判断是否需要皮肤活检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调整为较低免疫剂量，再根据黏膜恢复情况复查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A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暂停免疫用药，紧急评估重症药疹并请皮肤科会诊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皮肤疼痛、破溃及黏膜受累是严重皮肤不良反应的警示信号，不能按普通轻度皮疹处理。应暂停可疑免疫药并紧急进行专科评估，视情况住院、活检和排查感染或其他致病药物；不应等待面积继续扩大才启动处置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识别重症药疹红旗，诊断未定不等于可以延迟处理。</w:t>
            </w:r>
          </w:p>
        </w:tc>
      </w:tr>
    </w:tbl>
    <w:p>
      <w:pPr>
        <w:spacing w:before="65" w:after="0" w:line="240" w:lineRule="auto"/>
      </w:pPr>
      <w:hyperlink r:id="rId12">
        <w:r>
          <w:rPr>
            <w:rFonts w:ascii="Calibri" w:hAnsi="Calibri" w:eastAsia="Microsoft YaHei"/>
            <w:color w:val="596C85"/>
            <w:sz w:val="17"/>
          </w:rPr>
          <w:t>参考：Cancer Care Ontario：免疫检查点抑制剂毒性管理指南，皮肤毒性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Q3  </w:t>
      </w:r>
      <w:r>
        <w:rPr>
          <w:rFonts w:ascii="Calibri" w:hAnsi="Calibri" w:eastAsia="Microsoft YaHei"/>
          <w:b/>
          <w:color w:val="1F4D78"/>
          <w:sz w:val="22"/>
        </w:rPr>
        <w:t>再次用药边界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确诊免疫相关TEN并接受治疗后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后续明确诊断为帕博利珠单抗相关中毒性表皮坏死松解症（TEN），同时合并MRSA感染；经治疗后皮肤改善。关于后续PD-1治疗，哪项原则最合适？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皮肤恢复至轻度后，可在小剂量激素保护下恢复原药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感染获得控制后，可更换另一种PD-1抑制剂再挑战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肿瘤仍存在残留时，可缩短疗程重新引入同类治疗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应永久停用致病免疫药，后续不常规安排同类再挑战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D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应永久停用致病免疫药，后续不常规安排同类再挑战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已确认免疫相关TEN属于危及生命的严重皮肤毒性，不能套用普通可逆性皮疹的复药规则。感染需要同步治疗，但感染控制并不消除再次免疫暴露的风险。后续抗肿瘤治疗应由MDT重新规划，而非根据肿瘤缩小或皮肤好转直接复药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复药决策取决于毒性类型及严重性，不只是症状是否消退。</w:t>
            </w:r>
          </w:p>
        </w:tc>
      </w:tr>
    </w:tbl>
    <w:p>
      <w:pPr>
        <w:spacing w:before="65" w:after="0" w:line="240" w:lineRule="auto"/>
      </w:pPr>
      <w:hyperlink r:id="rId13">
        <w:r>
          <w:rPr>
            <w:rFonts w:ascii="Calibri" w:hAnsi="Calibri" w:eastAsia="Microsoft YaHei"/>
            <w:color w:val="596C85"/>
            <w:sz w:val="17"/>
          </w:rPr>
          <w:t>参考：ASCO：免疫相关不良反应管理指南（2018），严重皮肤反应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Q4  </w:t>
      </w:r>
      <w:r>
        <w:rPr>
          <w:rFonts w:ascii="Calibri" w:hAnsi="Calibri" w:eastAsia="Microsoft YaHei"/>
          <w:b/>
          <w:color w:val="1F4D78"/>
          <w:sz w:val="22"/>
        </w:rPr>
        <w:t>局部疗效复评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2021年5月：未能按原计划行食管切除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患者因严重不良反应未行计划中的食管切除。随后PET未再见原食管壁肿块，仅有轻度摄取，报告考虑治疗后改变。在决定后续局部管理前，最合理的评估方向是？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将轻度摄取视为存活肿瘤，依据PET结果启动挽救手术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结合内镜取样及必要的超声内镜，综合判断局部残留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将肿块消失视为病理缓解，依据PET结果结束局部评估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结合一次肿瘤标志物复查，替代后续内镜组织学评估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B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结合内镜取样及必要的超声内镜，综合判断局部残留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治疗后轻度摄取可能与炎症有关，肿块消失也不能证明没有微小残留。局部判断需整合内镜、组织取样及必要的超声内镜等信息，并结合全身复评。未取得切除标本不能以此认定pCR；单次阴性活检同样存在取样局限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代谢改善、临床完全缓解和病理完全缓解不能互相替代。</w:t>
            </w:r>
          </w:p>
        </w:tc>
      </w:tr>
    </w:tbl>
    <w:p>
      <w:pPr>
        <w:spacing w:before="65" w:after="0" w:line="240" w:lineRule="auto"/>
      </w:pPr>
      <w:hyperlink r:id="rId11">
        <w:r>
          <w:rPr>
            <w:rFonts w:ascii="Calibri" w:hAnsi="Calibri" w:eastAsia="Microsoft YaHei"/>
            <w:color w:val="596C85"/>
            <w:sz w:val="17"/>
          </w:rPr>
          <w:t>参考：Onkopedia：食管癌指南（2024），PET疗效评价边界</w:t>
        </w:r>
      </w:hyperlink>
    </w:p>
    <w:p>
      <w:pPr>
        <w:spacing w:before="65" w:after="0" w:line="240" w:lineRule="auto"/>
      </w:pPr>
      <w:hyperlink r:id="rId14">
        <w:r>
          <w:rPr>
            <w:rFonts w:ascii="Calibri" w:hAnsi="Calibri" w:eastAsia="Microsoft YaHei"/>
            <w:color w:val="596C85"/>
            <w:sz w:val="17"/>
          </w:rPr>
          <w:t>参考：SEOM–GEMCAD–TTD：食管癌指南（更新2025），疗后评估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Q5  </w:t>
      </w:r>
      <w:r>
        <w:rPr>
          <w:rFonts w:ascii="Calibri" w:hAnsi="Calibri" w:eastAsia="Microsoft YaHei"/>
          <w:b/>
          <w:color w:val="1F4D78"/>
          <w:sz w:val="22"/>
        </w:rPr>
        <w:t>器官保存随访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2022—2024年：未手术后的连续随访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此后多次随访未发现明确复发，CT仍有轻度食管壁增厚，内镜见黏膜完整但管壁较僵硬。对于继续器官保存管理，哪项安排最合理？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以症状复发作为检查触发点，减少无症状时内镜随访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以CT壁厚变化作为主要终点，减少黏膜完整时的取样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持续结合内镜与影像监测，可疑变化时复评挽救治疗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以长期无复发作为治愈依据，转为一般人群常规体检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C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持续结合内镜与影像监测，可疑变化时复评挽救治疗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未手术后的随访要兼顾局部再生长和远处复发，不能仅依赖症状或CT壁厚。出现可疑变化时应针对性取样，并评估挽救治疗可行性。本例的试验性联合方案及TEN病史具有特殊性，不能据其长期控制推广为所有患者均可省略手术；具体随访间隔需个体化制定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器官保存是主动监测策略，不是放弃复评与挽救治疗。</w:t>
            </w:r>
          </w:p>
        </w:tc>
      </w:tr>
    </w:tbl>
    <w:p>
      <w:pPr>
        <w:spacing w:before="65" w:after="0" w:line="240" w:lineRule="auto"/>
      </w:pPr>
      <w:hyperlink r:id="rId14">
        <w:r>
          <w:rPr>
            <w:rFonts w:ascii="Calibri" w:hAnsi="Calibri" w:eastAsia="Microsoft YaHei"/>
            <w:color w:val="596C85"/>
            <w:sz w:val="17"/>
          </w:rPr>
          <w:t>参考：SEOM–GEMCAD–TTD：食管癌指南（更新2025），未手术患者随访原则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2E74B5"/>
        <w:sz w:val="17"/>
      </w:rPr>
      <w:t>ONCOROUNDS  ·  模拟查房题集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nkopedia-guidelines.info/en/onkopedia/archive/guidelines/esophageal-cancer/version-02122025T174721/%40%40guideline/html/index.html" TargetMode="External"/><Relationship Id="rId12" Type="http://schemas.openxmlformats.org/officeDocument/2006/relationships/hyperlink" Target="https://www.cancercareontario.ca/en/file/39391/download?token=Thzk5Jp9" TargetMode="External"/><Relationship Id="rId13" Type="http://schemas.openxmlformats.org/officeDocument/2006/relationships/hyperlink" Target="https://ascopubs.org/doi/abs/10.1200/JCO.2017.77.6385" TargetMode="External"/><Relationship Id="rId14" Type="http://schemas.openxmlformats.org/officeDocument/2006/relationships/hyperlink" Target="https://pmc.ncbi.nlm.nih.gov/articles/PMC130997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食管鳞癌全程管理 · 模拟查房5题</dc:title>
  <dc:subject>当前教学复盘；优化预览版；CASE-2CBF15F6</dc:subject>
  <dc:creator>OncoRounds</dc:creator>
  <cp:keywords>ALK; 肺腺鳞癌; NSCLC; 模拟查房; 单项选择题</cp:keywords>
  <dc:description>generated by python-docx</dc:description>
  <cp:lastModifiedBy/>
  <cp:revision>1</cp:revision>
  <dcterms:created xsi:type="dcterms:W3CDTF">2013-12-23T23:15:00Z</dcterms:created>
  <dcterms:modified xsi:type="dcterms:W3CDTF">2026-09-04T06:16:36Z</dcterms:modified>
  <cp:category/>
</cp:coreProperties>
</file>