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大查房工作流改造</w:t>
      </w:r>
    </w:p>
    <w:p>
      <w:r>
        <w:t>项目详述与面试准备  ·  AI产品经理方向</w:t>
      </w:r>
    </w:p>
    <w:p>
      <w:pPr>
        <w:pStyle w:val="Heading1"/>
      </w:pPr>
      <w:r>
        <w:t>01  项目背景与个人职责</w:t>
      </w:r>
    </w:p>
    <w:p>
      <w:pPr>
        <w:pStyle w:val="Heading2"/>
      </w:pPr>
      <w:r>
        <w:t>业务问题：把病例材料变成可复核的教学内容</w:t>
      </w:r>
    </w:p>
    <w:p>
      <w:r>
        <w:t>OncoRounds 面向肿瘤医生的循证教学与模拟查房。输入为脱敏病例及其纵向诊疗过程，输出为与病例决策点相对应的单项最佳选择题、解析和病例内容。系统辅助教学内容生产，不承担自动诊断，也不替代医生对病例事实、证据适用性和题目质量的复核。</w:t>
      </w:r>
    </w:p>
    <w:p>
      <w:r>
        <w:t>旧版已具备检索、生成、审核与修订环节，但反复暴露出三类问题：上游材料或回复格式导致流程中断，证据与题干的人群及治疗阶段不匹配，以及修订、回退、终选之间的数据和审核记录脱节。改造目标不是增加模型调用数量，而是让内容来源、失败原因和实际输出都能够被解释和追踪。</w:t>
      </w:r>
    </w:p>
    <w:p>
      <w:pPr>
        <w:pStyle w:val="Heading2"/>
      </w:pPr>
      <w:r>
        <w:t>我的职责：独立负责技术实现，串联产品与工程</w:t>
      </w:r>
    </w:p>
    <w:p>
      <w:r>
        <w:t>我从实际运行日志、节点输入输出和病例样本中梳理问题，定义输入约束、检索分工、生成与审核规则；独立完成 FastGPT 配置调整、JavaScript 数据处理、JSON 契约设计及本地测试。围绕“可用性、教学质量、事实与证据边界”做取舍，并整理可导入配置和使用说明。</w:t>
      </w:r>
    </w:p>
    <w:p>
      <w:r>
        <w:t>个人交付覆盖：需求与异常归因 → 流程及字段设计 → 提示词与代码实现 → 历史日志回放 → 回归验证 → 样本优化与交付规范。医学结论的独立专业确认不由流程放行状态代替。</w:t>
      </w:r>
    </w:p>
    <w:p>
      <w:pPr>
        <w:pStyle w:val="Heading2"/>
      </w:pPr>
      <w:r>
        <w:t>当前实现的主链路</w:t>
      </w:r>
    </w:p>
    <w:p>
      <w:r>
        <w:t>病例输入与结构化 → 按疾病及决策阶段检索 → 证据登记与压缩 → 生成、审核与授权修订 → 三路候选汇总 → 千问按唯一ID终选 → 代码校验与双JSON交付。</w:t>
      </w:r>
    </w:p>
    <w:p>
      <w:r>
        <w:rPr>
          <w:b/>
        </w:rPr>
        <w:t>技术栈：</w:t>
      </w:r>
      <w:r>
        <w:t>FastGPT、千问、检索增强生成（RAG）、JavaScript、JSON。本文以本地 20260904-followup-v2 综合修复版为“当前实现”；配置与代码已交付、本地验证已完成，不等同于线上部署及效果已确认。</w:t>
      </w:r>
    </w:p>
    <w:p>
      <w:pPr>
        <w:pStyle w:val="Heading1"/>
        <w:pageBreakBefore/>
      </w:pPr>
      <w:r>
        <w:t>02  改造前后：从节点能跑到结果可追踪</w:t>
      </w:r>
    </w:p>
    <w:p>
      <w:r>
        <w:t>“改造前”综合早期配置与历次异常日志；“当前”指本地最新实现。以下比较描述机制变化，不将不同批次的测试样本包装成线上质量提升。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3787"/>
        <w:gridCol w:w="4738"/>
      </w:tblGrid>
      <w:tr>
        <w:trPr>
          <w:tblHeader/>
          <w:cantSplit/>
        </w:trPr>
        <w:tc>
          <w:tcPr>
            <w:tcW w:type="dxa" w:w="1469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EF2F5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378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EF2F5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之前的问题／限制</w:t>
            </w:r>
          </w:p>
        </w:tc>
        <w:tc>
          <w:tcPr>
            <w:tcW w:type="dxa" w:w="473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EF2F5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当前的实现与交付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病例入口</w:t>
            </w:r>
          </w:p>
        </w:tc>
        <w:tc>
          <w:tcPr>
            <w:tcW w:type="dxa" w:w="378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先人工确认，缺失信息触发补充；完整度要求容易中断教学流程。</w:t>
            </w:r>
          </w:p>
        </w:tc>
        <w:tc>
          <w:tcPr>
            <w:tcW w:type="dxa" w:w="473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标题、疾病必填，结构化后直接进入；其他缺失项保留为空或未知，不追问、不补造。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循证检索</w:t>
            </w:r>
          </w:p>
        </w:tc>
        <w:tc>
          <w:tcPr>
            <w:tcW w:type="dxa" w:w="378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多个目标混杂，部分查询或重排提示残留固定病种；分期证据易被分子检测挤占。</w:t>
            </w:r>
          </w:p>
        </w:tc>
        <w:tc>
          <w:tcPr>
            <w:tcW w:type="dxa" w:w="473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拆分初始分期、分子诊断、后续管理；临床研究与不良反应分别检索，按条件补检并约束人群、阶段和原文支持。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候选与终选</w:t>
            </w:r>
          </w:p>
        </w:tc>
        <w:tc>
          <w:tcPr>
            <w:tcW w:type="dxa" w:w="378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单组五题覆盖有限；重新生成容易重复考点，终选再写全文可能改坏原题。</w:t>
            </w:r>
          </w:p>
        </w:tc>
        <w:tc>
          <w:tcPr>
            <w:tcW w:type="dxa" w:w="473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三路不同教学侧重，最多15道候选；按唯一ID选5题，由代码回填原题与来源，按实际可用数量处理。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结果传输</w:t>
            </w:r>
          </w:p>
        </w:tc>
        <w:tc>
          <w:tcPr>
            <w:tcW w:type="dxa" w:w="378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中间锚点、审核和最终JSON混入外部回复，完整题目也可能被解析成零题。</w:t>
            </w:r>
          </w:p>
        </w:tc>
        <w:tc>
          <w:tcPr>
            <w:tcW w:type="dxa" w:w="473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只向外输出单一最终结果包；兼容旧多JSON串流，区分草稿、审核和最终结果，不用旧草稿覆盖最终不足状态。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修订合并</w:t>
            </w:r>
          </w:p>
        </w:tc>
        <w:tc>
          <w:tcPr>
            <w:tcW w:type="dxa" w:w="378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要求所有任务都产生字段变化，纯配额复核被误拒；完整修订遗漏保留题。</w:t>
            </w:r>
          </w:p>
        </w:tc>
        <w:tc>
          <w:tcPr>
            <w:tcW w:type="dxa" w:w="473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区分授权修订、合格题保留与配额后检查；仅继承明确允许保留的内容，真实医学修改仍须落实。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审核与证据</w:t>
            </w:r>
          </w:p>
        </w:tc>
        <w:tc>
          <w:tcPr>
            <w:tcW w:type="dxa" w:w="378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返回首轮回退题，却绑定第二轮分数；证据定位与片段原文可能脱节。</w:t>
            </w:r>
          </w:p>
        </w:tc>
        <w:tc>
          <w:tcPr>
            <w:tcW w:type="dxa" w:w="473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跟踪实际返回轮次，绑定对应审核及证据原文；保留第二轮运行记录，定位冲突或原文缺失明确告警。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选项质量</w:t>
            </w:r>
          </w:p>
        </w:tc>
        <w:tc>
          <w:tcPr>
            <w:tcW w:type="dxa" w:w="378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正确项往往更长、更完整，错误项过短或绝对化，形成非医学答题线索。</w:t>
            </w:r>
          </w:p>
        </w:tc>
        <w:tc>
          <w:tcPr>
            <w:tcW w:type="dxa" w:w="473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检查长度、句式、信息量及动作数量；要求可信干扰项，不机械补字或截短，长度告警不直接清空题池。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输出接口</w:t>
            </w:r>
          </w:p>
        </w:tc>
        <w:tc>
          <w:tcPr>
            <w:tcW w:type="dxa" w:w="378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题目、病例和诊断信息分散，状态含义不清，前端接入和排障困难。</w:t>
            </w:r>
          </w:p>
        </w:tc>
        <w:tc>
          <w:tcPr>
            <w:tcW w:type="dxa" w:w="4738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统一题目JSON、病例JSON及单独诊断报告；区分输出状态、医学审核状态与技术异常。</w:t>
            </w:r>
          </w:p>
        </w:tc>
      </w:tr>
    </w:tbl>
    <w:p>
      <w:pPr>
        <w:spacing w:after="0"/>
      </w:pPr>
    </w:p>
    <w:p>
      <w:r>
        <w:t>产品变化：把“模型说生成成功”转化为可检查的输入、候选、证据、审核和交付记录；同时避免仅因答案位置或解析方式产生假性失败。</w:t>
      </w:r>
    </w:p>
    <w:p>
      <w:pPr>
        <w:pStyle w:val="Heading1"/>
        <w:pageBreakBefore/>
      </w:pPr>
      <w:r>
        <w:t>03  难点复盘：先定位数据问题，再优化模型</w:t>
      </w:r>
    </w:p>
    <w:p>
      <w:pPr>
        <w:pStyle w:val="Heading2"/>
      </w:pPr>
      <w:r>
        <w:t>案例一｜多JSON串流导致“假性零题”</w:t>
      </w:r>
    </w:p>
    <w:p>
      <w:r>
        <w:rPr>
          <w:b/>
        </w:rPr>
        <w:t>现象：</w:t>
      </w:r>
      <w:r>
        <w:t>三个子流程返回内容看似完整，汇总时却出现“Unexpected non-whitespace character after JSON”，候选数被统计为0。最终报告只说不足5题，容易被误解为检索或生成能力不足。</w:t>
      </w:r>
    </w:p>
    <w:p>
      <w:r>
        <w:rPr>
          <w:b/>
        </w:rPr>
        <w:t>定位依据：</w:t>
      </w:r>
      <w:r>
        <w:t>检查原始回复发现锚点抽取、生成、审核、修订及最终结果被连续输出，形成多个相邻JSON对象；外层按单个JSON解析，自然在首个对象结束后报错。早期食管病例日志中，解析修复可恢复15道结构完整候选，说明至少这次失败不是没有生成题目。</w:t>
      </w:r>
    </w:p>
    <w:p>
      <w:r>
        <w:rPr>
          <w:b/>
        </w:rPr>
        <w:t>改法：</w:t>
      </w:r>
      <w:r>
        <w:t>关闭中间模型节点对外回复，保留供后续节点引用的数据；末端仅输出一个最终结果包。外层增加旧串流兼容，识别最后一个有效最终记录，而不是简单截取第一个大括号片段。最终结果若明确不足，不再捞取前面的旧草稿伪装成功。</w:t>
      </w:r>
    </w:p>
    <w:p>
      <w:r>
        <w:rPr>
          <w:b/>
        </w:rPr>
        <w:t>验证范围：</w:t>
      </w:r>
      <w:r>
        <w:t>使用真实日志验证恢复、空结果及异常分支；截断、尾部异常和仅含审核记录仍应保留技术错误。修复证明了传输和解析问题可被消除，不证明恢复出的每一道题医学上合格。</w:t>
      </w:r>
    </w:p>
    <w:p>
      <w:pPr>
        <w:pStyle w:val="Heading2"/>
      </w:pPr>
      <w:r>
        <w:t>案例二｜跨病种与治疗阶段的证据错配</w:t>
      </w:r>
    </w:p>
    <w:p>
      <w:r>
        <w:rPr>
          <w:b/>
        </w:rPr>
        <w:t>现象：</w:t>
      </w:r>
      <w:r>
        <w:t>切换到胃食管结合部癌或食管癌后，部分检索仍残留肺癌、ALK或脑转移的固定导向；同一轮检索中，分子检测片段占据前列，却缺少初始分期依据。题目因此可能引用“看似相关、实际不适用”的指南片段。</w:t>
      </w:r>
    </w:p>
    <w:p>
      <w:r>
        <w:rPr>
          <w:b/>
        </w:rPr>
        <w:t>定位依据：</w:t>
      </w:r>
      <w:r>
        <w:t>逐项比对 query、重排指令、返回片段及题干，发现病种、可切除性、治疗阶段与决策动作未同时匹配。另有严重不良反应已被记录，但因缺少G分级未触发检索，属于触发条件过严。</w:t>
      </w:r>
    </w:p>
    <w:p>
      <w:r>
        <w:rPr>
          <w:b/>
        </w:rPr>
        <w:t>改法：</w:t>
      </w:r>
      <w:r>
        <w:t>将病种与真实治疗决策作为变量注入，拆分分期、分子诊断及后续管理；临床研究和不良反应走专门通道。已记录的严重反应可以在“分级未提供”状态下检索，但不能补造G3/G4，也不能把感染自动升级为免疫毒性。证据必须由当前片段支持核心动作。</w:t>
      </w:r>
    </w:p>
    <w:p>
      <w:r>
        <w:rPr>
          <w:b/>
        </w:rPr>
        <w:t>验证范围：</w:t>
      </w:r>
      <w:r>
        <w:t>本地检查检索模板、触发条件与真实日志，包括反应无分级、与感染并存、单纯感染及疑似诊断等边界。新配置在线召回质量仍需实际运行抽检；模板修复不等于已获得所有病种的充分证据。</w:t>
      </w:r>
    </w:p>
    <w:p>
      <w:pPr>
        <w:pStyle w:val="Heading1"/>
        <w:pageBreakBefore/>
      </w:pPr>
      <w:r>
        <w:t>04  难点复盘与质量、可用性的取舍</w:t>
      </w:r>
    </w:p>
    <w:p>
      <w:pPr>
        <w:pStyle w:val="Heading2"/>
      </w:pPr>
      <w:r>
        <w:t>案例三｜修订合并误拒绝与审核轮次错绑</w:t>
      </w:r>
    </w:p>
    <w:p>
      <w:r>
        <w:rPr>
          <w:b/>
        </w:rPr>
        <w:t>现象：</w:t>
      </w:r>
      <w:r>
        <w:t>第二轮由65分变成0分，日志提示“未对配额任务完成实质变化”或候选为空。另一类问题是回退返回首轮题目，却携带第二轮失败分数与证据信息。分数变化因此不一定代表医学质量下降。</w:t>
      </w:r>
    </w:p>
    <w:p>
      <w:r>
        <w:rPr>
          <w:b/>
        </w:rPr>
        <w:t>定位依据：</w:t>
      </w:r>
      <w:r>
        <w:t>顺着“修订任务—合并结果—实际返回题—审核记录”检查，发现程序把“重新核算配额”当成必须修改字段的任务；部分FULL结果只返回修改题，而原本合格题未被安全补回。回退分支又混用了运行轮次与实际返回轮次。</w:t>
      </w:r>
    </w:p>
    <w:p>
      <w:r>
        <w:rPr>
          <w:b/>
        </w:rPr>
        <w:t>改法：</w:t>
      </w:r>
      <w:r>
        <w:t>纯配额核算移入合并后检查，真实配额缺陷仍须修复；按授权字段和保留ID处理修订，只继承明确允许保留的题，不暗中恢复未修好的问题题。结果增加实际返回轮次，绑定该轮审核与证据片段；第二轮运行失败另行记录，不能覆盖首轮题的审核。</w:t>
      </w:r>
    </w:p>
    <w:p>
      <w:r>
        <w:rPr>
          <w:b/>
        </w:rPr>
        <w:t>验证范围：</w:t>
      </w:r>
      <w:r>
        <w:t>本地覆盖稀疏FULL、越权修改、漏修、真实证据替换、配额复核、回退及证据冲突。首轮回退带回首轮65分，第二轮运行0分仍保留但不绑定旧题。新模型是否真正完成医学修订，仍需独立复核。</w:t>
      </w:r>
    </w:p>
    <w:p>
      <w:pPr>
        <w:pStyle w:val="Heading2"/>
      </w:pPr>
      <w:r>
        <w:t>发布规则：保留真实审核，而不是把风险改成PASS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41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EF2F5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841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EF2F5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当前处理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首轮</w:t>
            </w:r>
          </w:p>
        </w:tc>
        <w:tc>
          <w:tcPr>
            <w:tcW w:type="dxa" w:w="841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实际审核PASS且至少75分，并满足结构条件，才走首轮通过路径。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第二轮</w:t>
            </w:r>
          </w:p>
        </w:tc>
        <w:tc>
          <w:tcPr>
            <w:tcW w:type="dxa" w:w="841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可用候选允许直接输出；第二轮不可用时可回退到可用首轮。保留真实分数、审核意见、风险及返回轮次。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三路终选</w:t>
            </w:r>
          </w:p>
        </w:tc>
        <w:tc>
          <w:tcPr>
            <w:tcW w:type="dxa" w:w="841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按实际结构完整候选数处理：足5题才终选5题；可能只有5或10题，不保证15题。医学风险不因终选而消失。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无法组成五题</w:t>
            </w:r>
          </w:p>
        </w:tc>
        <w:tc>
          <w:tcPr>
            <w:tcW w:type="dxa" w:w="841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返回不足或技术错误，不把空池包装成成功，不凭空补题、补病例事实或补证据。</w:t>
            </w:r>
          </w:p>
        </w:tc>
      </w:tr>
    </w:tbl>
    <w:p>
      <w:pPr>
        <w:spacing w:after="0"/>
      </w:pPr>
    </w:p>
    <w:p>
      <w:r>
        <w:rPr>
          <w:b/>
        </w:rPr>
        <w:t>核心取舍：</w:t>
      </w:r>
      <w:r>
        <w:t>将“是否有内容可交付”与“是否经医学审核通过”分开。第二轮输出保留供复核使用的内容，提升可用性，但不宣称通过独立医学审核；教学使用前仍需专业人工复核。</w:t>
      </w:r>
    </w:p>
    <w:p>
      <w:pPr>
        <w:pStyle w:val="Heading1"/>
        <w:pageBreakBefore/>
      </w:pPr>
      <w:r>
        <w:t>05  可核实成果与验证边界</w:t>
      </w:r>
    </w:p>
    <w:p>
      <w:pPr>
        <w:pStyle w:val="Heading2"/>
      </w:pPr>
      <w:r>
        <w:t>已交付的能力与材料</w:t>
      </w:r>
    </w:p>
    <w:p>
      <w:r>
        <w:t>配置层：交付题目生成综合修复版及三连证据原文终选、回退追踪版，统一输入和结果契约，保留既有子工作流调用关系。数据层：题目JSON、病例JSON和独立诊断报告分离，候选唯一ID与证据定位贯穿生成、修订和终选。</w:t>
      </w:r>
    </w:p>
    <w:p>
      <w:r>
        <w:t>内容层：在肺癌、胃食管结合部癌、食管癌等病例上回放真实日志，定位跨病种、串流与修订问题；另整理5套人工优化题目，共25题，并配套5份病例JSON，形成10个内容文件。人工优化样本用于展示与评审，不计作工作流自动生成的准确率或通过率。</w:t>
      </w:r>
    </w:p>
    <w:p>
      <w:pPr>
        <w:pStyle w:val="Heading2"/>
      </w:pPr>
      <w:r>
        <w:t>截至本地最新版本的验证结果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147"/>
        <w:gridCol w:w="409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EF2F5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证据</w:t>
            </w:r>
          </w:p>
        </w:tc>
        <w:tc>
          <w:tcPr>
            <w:tcW w:type="dxa" w:w="414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EF2F5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可确认的结果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  <w:shd w:fill="EEF2F5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不能由此推出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本地回归报告</w:t>
            </w:r>
          </w:p>
        </w:tc>
        <w:tc>
          <w:tcPr>
            <w:tcW w:type="dxa" w:w="414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15项测试通过；覆盖触发条件、修订、配额、回退、原文对应、配置及代码完整性。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不是医学准确率100%，也不是线上所有路径均成功。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三份真实日志回放</w:t>
            </w:r>
          </w:p>
        </w:tc>
        <w:tc>
          <w:tcPr>
            <w:tcW w:type="dxa" w:w="414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ALK、GEJ、食管病例分别有5／15／10道结构完整候选；按已有ID分别导出5题。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不是三路每次都生成15题，也不是新一轮模型效果提升。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原文追踪</w:t>
            </w:r>
          </w:p>
        </w:tc>
        <w:tc>
          <w:tcPr>
            <w:tcW w:type="dxa" w:w="414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新增按证据定位回绑原文、冲突告警与缺失标记。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旧日志没有原文时不能补造；不能宣称历史题已全部原文核实。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选项偏差诊断</w:t>
            </w:r>
          </w:p>
        </w:tc>
        <w:tc>
          <w:tcPr>
            <w:tcW w:type="dxa" w:w="414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早期15题样本中，10题正确项为唯一最长；据此加入生成约束和检测。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不能宣称长度偏差已在所有新题中消除，更不能用长度代表医学质量。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人工优化样本</w:t>
            </w:r>
          </w:p>
        </w:tc>
        <w:tc>
          <w:tcPr>
            <w:tcW w:type="dxa" w:w="4147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5套、25题，题目与病例各一份JSON；用于人工检查和展示。</w:t>
            </w:r>
          </w:p>
        </w:tc>
        <w:tc>
          <w:tcPr>
            <w:tcW w:type="dxa" w:w="4090"/>
            <w:vAlign w:val="center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sz w:val="20"/>
              </w:rPr>
              <w:t>不等于25题均由工作流自动高质量生成。</w:t>
            </w:r>
          </w:p>
        </w:tc>
      </w:tr>
    </w:tbl>
    <w:p>
      <w:pPr>
        <w:spacing w:after="0"/>
      </w:pPr>
    </w:p>
    <w:p>
      <w:pPr>
        <w:pStyle w:val="Heading2"/>
      </w:pPr>
      <w:r>
        <w:t>下一步如何评估线上真实效果</w:t>
      </w:r>
    </w:p>
    <w:p>
      <w:r>
        <w:t>先固定跨病种测试集和版本，记录每次原始回复、候选数、实际返回轮次与证据片段；分开统计技术解析成功率、有效五题产出率、独立医学通过率、事实与证据错配率、重复考点和选项偏差。再由专业审核者盲评，并复核争议题。</w:t>
      </w:r>
    </w:p>
    <w:p>
      <w:r>
        <w:t>同时采集每例调用耗时、Token成本、补检次数和人工修改量，比较同一批病例在改造前后的结果。当前没有确认的线上用户数、节省工时或质量提升百分比，简历中不填写推测值。</w:t>
      </w:r>
    </w:p>
    <w:p>
      <w:pPr>
        <w:pStyle w:val="Heading1"/>
        <w:pageBreakBefore/>
      </w:pPr>
      <w:r>
        <w:t>06  面试表达：一分钟介绍与核心追问</w:t>
      </w:r>
    </w:p>
    <w:p>
      <w:pPr>
        <w:pStyle w:val="Heading2"/>
      </w:pPr>
      <w:r>
        <w:t>一分钟项目介绍</w:t>
      </w:r>
    </w:p>
    <w:p>
      <w:r>
        <w:t>我做的是一个面向肿瘤医生的循证教学工作流，把脱敏病例和医学证据转成模拟查房题目。我独立负责技术实现，也负责从运行日志中定位问题并设计改造方案。早期主要有检索串病种、中间JSON混入最终回复、修订误拒绝和回退题审核错绑等问题。我把它拆成病例结构化、分路检索、生成审核、三路候选终选和标准化交付，用模型处理语义，用代码保证ID、结构和状态一致。目前三路最多形成15道候选并选5题，最新15项本地回归测试通过。我特别区分流程输出与医学审核，保留真实风险；线上质量提升还需要固定测试集和专业盲评验证。</w:t>
      </w:r>
    </w:p>
    <w:p>
      <w:pPr>
        <w:pStyle w:val="Heading2"/>
      </w:pPr>
      <w:r>
        <w:t>Q1  你的产品经理价值，而不只是技术配置，体现在哪里？</w:t>
      </w:r>
    </w:p>
    <w:p>
      <w:r>
        <w:t>我先定义问题属于业务约束、证据不足、模型内容还是数据链路，而不是看到失败就改提示词。随后将需求转成可验收规则：哪些字段必填、何时检索、哪些题可回退、何种状态能交付，以及风险如何呈现。最终用配置、代码、日志和样本验证设计是否落实。这体现了从问题到方案再到验收的闭环。</w:t>
      </w:r>
    </w:p>
    <w:p>
      <w:pPr>
        <w:pStyle w:val="Heading2"/>
      </w:pPr>
      <w:r>
        <w:t>Q2  这个项目中的RAG具体做了什么？</w:t>
      </w:r>
    </w:p>
    <w:p>
      <w:r>
        <w:t>RAG不是把病例丢进知识库后让模型自由回答。我按病种、治疗阶段和教学决策拆检索目标，分别召回指南、研究和必要的不良反应材料；再登记来源、去重压缩并保留定位。模型依据可用片段出题，审核时检查人群和核心动作是否被支持。检索结果含有关键词，不等于能作为正确答案的依据。</w:t>
      </w:r>
    </w:p>
    <w:p>
      <w:pPr>
        <w:pStyle w:val="Heading2"/>
      </w:pPr>
      <w:r>
        <w:t>Q3  哪些交给模型，哪些交给规则？</w:t>
      </w:r>
    </w:p>
    <w:p>
      <w:r>
        <w:t>病理语义、证据适用性、干扰项可信度和题目教学价值交给模型判断；JSON解析、必填字段、唯一ID、答案映射、修订权限、轮次和状态对应交给代码。规则能验证“确实改了授权字段”，但不能单凭字段变化证明医学问题已解决；医学判断仍需审核与人工把关。</w:t>
      </w:r>
    </w:p>
    <w:p>
      <w:pPr>
        <w:pStyle w:val="Heading2"/>
      </w:pPr>
      <w:r>
        <w:t>Q4  为什么三路生成，而不是一次直接生成15题？</w:t>
      </w:r>
    </w:p>
    <w:p>
      <w:r>
        <w:t>三路复用既有流程，但在教学侧重点上分别倾向初诊与分期、系统治疗与疗效复评、后续管理与信息不足场景，目的是增加候选覆盖。终选只返回ID，避免再写全文引入漂移。代价是更多调用、耗时与重复候选，因此需要按同一测试集比较收益；这是三个工作流调用，不应夸大为已训练出三个独立专家模型。</w:t>
      </w:r>
    </w:p>
    <w:p>
      <w:pPr>
        <w:pStyle w:val="Heading1"/>
        <w:pageBreakBefore/>
      </w:pPr>
      <w:r>
        <w:t>07  面试追问：取舍、评估与证据准备</w:t>
      </w:r>
    </w:p>
    <w:p>
      <w:pPr>
        <w:pStyle w:val="Heading2"/>
      </w:pPr>
      <w:r>
        <w:t>Q5  为什么不能只把temperature调到0.2或0.3？</w:t>
      </w:r>
    </w:p>
    <w:p>
      <w:r>
        <w:t>低温度能减少输出变化，但不会修复错误的检索目标、JSON串流、字段授权或审核错绑。当前配置为生成0.3、修订0.2、审核0.1、终选0.2，是稳定性与候选差异的工程起点，不是经过线上对照验证的最优值。是否调整，应看固定病例集的通过率、重复率和人工改动量，而不是凭一次结果判断。</w:t>
      </w:r>
    </w:p>
    <w:p>
      <w:pPr>
        <w:pStyle w:val="Heading2"/>
      </w:pPr>
      <w:r>
        <w:t>Q6  第二轮直接输出，会不会降低医学安全性？</w:t>
      </w:r>
    </w:p>
    <w:p>
      <w:r>
        <w:t>因此我没有把“直接输出”写成“审核通过”。首轮仍需PASS且至少75分；第二轮可交付可用候选或回退，但同时输出真实审核结果和风险。结构完整不代表医学合格，终选也不提供新的医学批准。产品面向教学素材生产，应由专业人员复核后使用；真正没有可用题目时仍返回不足。</w:t>
      </w:r>
    </w:p>
    <w:p>
      <w:pPr>
        <w:pStyle w:val="Heading2"/>
      </w:pPr>
      <w:r>
        <w:t>Q7  如何解决正确答案总是最长、答案位置集中？</w:t>
      </w:r>
    </w:p>
    <w:p>
      <w:r>
        <w:t>选项长度只是线索。生成和修订时同步检查句式、信息量、限定条件与动作数量，让错误项代表合理但不适用的临床选择，而不是明显荒谬的短句。代码负责告警，不用机械填充或裁剪改变医学含义。答案位置分布放在选题后处理；仅在不存在“以上选项”等位置语义时调整顺序，并同步答案映射，不能因为答案集中在B、C就宣布无题可选。</w:t>
      </w:r>
    </w:p>
    <w:p>
      <w:pPr>
        <w:pStyle w:val="Heading2"/>
      </w:pPr>
      <w:r>
        <w:t>Q8  如何证明改造有效，简历里为什么不写提升百分比？</w:t>
      </w:r>
    </w:p>
    <w:p>
      <w:r>
        <w:t>现有证据能证明特定故障被修复：真实串流日志可正确解析，纯配额任务不再误拒，回退题绑定对应审核和原文，15项本地回归通过。但这不是统一测试集的医学质量对照实验。后续需要专业盲评、跨病种分层、固定输入和版本记录，并同时报告成功率、风险、成本与人工修改量；没有这类数据就不写准确率或效率提升百分比。</w:t>
      </w:r>
    </w:p>
    <w:p>
      <w:pPr>
        <w:pStyle w:val="Heading2"/>
      </w:pPr>
      <w:r>
        <w:t>面试时建议展示的三类材料</w:t>
      </w:r>
    </w:p>
    <w:p>
      <w:r>
        <w:t>① 一张流程图或节点截图，解释模型与规则分工；② 一组异常日志与修复前后解析、回退结果，展示定位过程；③ 回归报告与人工样本，明确哪些是自动测试、哪些是人工优化。展示材料需脱敏，不展示患者身份或系统密钥。</w:t>
      </w:r>
    </w:p>
    <w:p>
      <w:pPr>
        <w:pStyle w:val="Heading2"/>
      </w:pPr>
      <w:r>
        <w:t>本稿的核对依据</w:t>
      </w:r>
    </w:p>
    <w:p>
      <w:r>
        <w:t>版本：20260904-followup-v2。本地题目生成及三连综合修复配置、三病例综合修复使用说明、15项回归报告、选项均衡优化说明，以及五套优化题与病例JSON说明。上述材料支持实现与本地验证陈述；线上导入、重新调用模型后的质量及业务收益未在本稿中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OncoRounds 大查房  /  项目复盘与面试准备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  <w:snapToGrid w:val="0"/>
    </w:pPr>
    <w:rPr>
      <w:rFonts w:ascii="Calibri" w:hAnsi="Calibr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  <w:snapToGrid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  <w:snapToGrid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  <w:snapToGrid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  <w:snapToGrid w:val="0"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大查房工作流改造 项目详述与面试准备</dc:title>
  <dc:subject>OncoRounds｜AI产品经理项目经历｜基于本地综合修复版与日志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2026-09-04T09:07:58Z</dcterms:modified>
  <cp:category/>
</cp:coreProperties>
</file>