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山东龙源新能源有限公司</w:t>
      </w:r>
    </w:p>
    <w:p>
      <w:pPr>
        <w:pStyle w:val="3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2025年运行分析</w:t>
      </w: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ind w:firstLine="600"/>
        <w:jc w:val="left"/>
      </w:pPr>
    </w:p>
    <w:p>
      <w:pPr>
        <w:pStyle w:val="4"/>
        <w:jc w:val="center"/>
      </w:pPr>
      <w:r>
        <w:rPr>
          <w:rFonts w:ascii="楷体_GB2312" w:hAnsi="楷体_GB2312" w:eastAsia="楷体_GB2312"/>
          <w:b w:val="0"/>
          <w:color w:val="000000"/>
          <w:sz w:val="32"/>
        </w:rPr>
        <w:t>山东龙源新能源有限公司</w:t>
      </w:r>
    </w:p>
    <w:p>
      <w:pPr>
        <w:pStyle w:val="4"/>
        <w:jc w:val="center"/>
      </w:pPr>
      <w:r>
        <w:rPr>
          <w:rFonts w:ascii="楷体_GB2312" w:hAnsi="楷体_GB2312" w:eastAsia="楷体_GB2312"/>
          <w:b w:val="0"/>
          <w:color w:val="000000"/>
          <w:sz w:val="32"/>
        </w:rPr>
        <w:t>2025年04月01日</w:t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一、总体情况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（一）发电量</w:t>
      </w:r>
    </w:p>
    <w:p>
      <w:pPr>
        <w:ind w:firstLine="600"/>
        <w:jc w:val="left"/>
      </w:pPr>
      <w:commentRangeStart w:id="0"/>
      <w:r>
        <w:rPr>
          <w:rFonts w:ascii="仿宋_GB2312" w:hAnsi="仿宋_GB2312" w:eastAsia="仿宋_GB2312"/>
          <w:b w:val="0"/>
          <w:color w:val="000000"/>
          <w:sz w:val="32"/>
        </w:rPr>
        <w:t>2025年，全公司发电量7.62亿千瓦时，同比下降4.71亿千瓦时，降幅38.21%。</w:t>
      </w:r>
      <w:commentRangeEnd w:id="0"/>
      <w:r>
        <w:commentReference w:id="0"/>
      </w:r>
      <w:r>
        <w:rPr>
          <w:rFonts w:ascii="仿宋_GB2312" w:hAnsi="仿宋_GB2312" w:eastAsia="仿宋_GB2312"/>
          <w:b w:val="0"/>
          <w:color w:val="000000"/>
          <w:sz w:val="32"/>
        </w:rPr>
        <w:t>东盘风电场发电量1.04亿千瓦时，冯家风电场发电量1.56亿千瓦时，滨海风电场发电量1.04亿千瓦时，山东玉山风电场发电量1.15亿千瓦时，陈公风电场发电量1.61亿千瓦时，北海风电场发电量1.21亿千瓦时。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（二）长周期运行</w:t>
      </w:r>
    </w:p>
    <w:p>
      <w:pPr>
        <w:ind w:firstLine="600"/>
        <w:jc w:val="left"/>
      </w:pPr>
      <w:commentRangeStart w:id="1"/>
      <w:r>
        <w:rPr>
          <w:rFonts w:ascii="仿宋_GB2312" w:hAnsi="仿宋_GB2312" w:eastAsia="仿宋_GB2312"/>
          <w:b w:val="0"/>
          <w:color w:val="000000"/>
          <w:sz w:val="32"/>
        </w:rPr>
        <w:t>截止2025年，全公司长周期运行0台，同比下降100.0台。</w:t>
      </w:r>
      <w:commentRangeEnd w:id="1"/>
      <w:r>
        <w:commentReference w:id="1"/>
      </w:r>
      <w:commentRangeStart w:id="2"/>
      <w:r>
        <w:rPr>
          <w:rFonts w:ascii="仿宋_GB2312" w:hAnsi="仿宋_GB2312" w:eastAsia="仿宋_GB2312"/>
          <w:b w:val="0"/>
          <w:color w:val="000000"/>
          <w:sz w:val="32"/>
        </w:rPr>
        <w:t>滨海风电场长周期运行0台，同比下降100.0台；山东玉山风电场长周期运行0台，同比下降100.0台；北海风电场长周期运行0台，同比下降100.0台；陈公风电场长周期运行0台，同比下降100.0台；冯家风电场长周期运行0台，同比下降100.0台；东盘风电场长周期运行0台，同比下降100.0台。</w:t>
      </w:r>
      <w:commentRangeEnd w:id="2"/>
      <w:r>
        <w:commentReference w:id="2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（三）风能利用率（β值）</w:t>
      </w:r>
    </w:p>
    <w:p>
      <w:pPr>
        <w:ind w:firstLine="600"/>
        <w:jc w:val="left"/>
      </w:pPr>
      <w:commentRangeStart w:id="3"/>
      <w:r>
        <w:rPr>
          <w:rFonts w:ascii="仿宋_GB2312" w:hAnsi="仿宋_GB2312" w:eastAsia="仿宋_GB2312"/>
          <w:b w:val="0"/>
          <w:color w:val="000000"/>
          <w:sz w:val="32"/>
        </w:rPr>
        <w:t>2025年，全公司风能利用率95.29%，同比增长10.0%。</w:t>
      </w:r>
      <w:commentRangeEnd w:id="3"/>
      <w:r>
        <w:commentReference w:id="3"/>
      </w:r>
      <w:commentRangeStart w:id="4"/>
      <w:r>
        <w:rPr>
          <w:rFonts w:ascii="仿宋_GB2312" w:hAnsi="仿宋_GB2312" w:eastAsia="仿宋_GB2312"/>
          <w:b w:val="0"/>
          <w:color w:val="000000"/>
          <w:sz w:val="32"/>
        </w:rPr>
        <w:t>陈公风电场风能利用率97.86%，同比增长0.0%；滨海风电场风能利用率82.97%，同比增长0.0%；陈公风电场风能利用率97.95%，同比增长0.0%；山东玉山风电场风能利用率97.15%，同比增长0.0%；东盘风电场风能利用率98.68%，同比增长0.0%；东盘风电场风能利用率98.62%，同比增长0.0%；冯家风电场风能利用率98.19%，同比增长0.0%；陈公风电场风能利用率99.12%，同比增长0.0%；山东玉山风电场风能利用率96.52%，同比增长0.0%；北海风电场风能利用率98.77%，同比增长0.0%；山东玉山风电场风能利用率97.04%，同比增长0.0%；山东玉山风电场风能利用率92.16%，同比增长0.0%；冯家风电场风能利用率96.9%，同比增长0.0%；冯家风电场风能利用率99.3%，同比增长0.0%；东盘风电场风能利用率99.12%，同比增长0.0%；北海风电场风能利用率97.8%，同比增长0.0%；滨海风电场风能利用率93.85%，同比增长0.0%；陈公风电场风能利用率97.45%，同比增长0.0%；滨海风电场风能利用率97.31%，同比增长0.0%；冯家风电场风能利用率95.99%，同比增长0.0%；冯家风电场风能利用率97.28%，同比增长0.0%；山东玉山风电场风能利用率97.33%，同比增长0.0%；东盘风电场风能利用率96.95%，同比增长0.0%；北海风电场风能利用率98.92%，同比增长0.0%；滨海风电场风能利用率91.26%，同比增长0.0%；山东玉山风电场风能利用率98.3%，同比增长0.0%；冯家风电场风能利用率95.92%，同比增长0.0%；北海风电场风能利用率97.98%，同比增长0.0%；滨海风电场风能利用率91.78%，同比增长0.0%；北海风电场风能利用率95.91%，同比增长0.0%；东盘风电场风能利用率98.99%，同比增长0.0%；陈公风电场风能利用率98.67%，同比增长0.0%；东盘风电场风能利用率98.62%，同比增长0.0%；陈公风电场风能利用率96.85%，同比增长0.0%；滨海风电场风能利用率96.88%，同比增长0.0%；北海风电场风能利用率94.48%，同比增长0.0%。</w:t>
      </w:r>
      <w:commentRangeEnd w:id="4"/>
      <w:r>
        <w:commentReference w:id="4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（四）综合场用电率</w:t>
      </w:r>
    </w:p>
    <w:p>
      <w:pPr>
        <w:ind w:firstLine="600"/>
        <w:jc w:val="left"/>
      </w:pPr>
      <w:commentRangeStart w:id="5"/>
      <w:r>
        <w:rPr>
          <w:rFonts w:ascii="仿宋_GB2312" w:hAnsi="仿宋_GB2312" w:eastAsia="仿宋_GB2312"/>
          <w:b w:val="0"/>
          <w:color w:val="000000"/>
          <w:sz w:val="32"/>
        </w:rPr>
        <w:t>2025年，全公司综合场用电率2.55%，同比下降0.3%。</w:t>
      </w:r>
      <w:commentRangeEnd w:id="5"/>
      <w:r>
        <w:commentReference w:id="5"/>
      </w:r>
      <w:r>
        <w:rPr>
          <w:rFonts w:ascii="仿宋_GB2312" w:hAnsi="仿宋_GB2312" w:eastAsia="仿宋_GB2312"/>
          <w:b w:val="0"/>
          <w:color w:val="000000"/>
          <w:sz w:val="32"/>
        </w:rPr>
        <w:t>东盘风电场综合场用电率3.34%，同比下降0.28%；冯家风电场综合场用电率2.49%，同比下降0.22%；滨海风电场综合场用电率2.65%，同比下降0.41%；山东玉山风电场综合场用电率1.99%，同比下降0.22%；陈公风电场综合场用电率2.31%，同比下降0.22%；北海风电场综合场用电率2.7%，同比下降0.54%。</w:t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二、风电机组运行情况分析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（一）台均故障次数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1、2025年，公司风电机组故障次数501次，台均4.55次/台，同比增长2.4次/台。东盘风电场台均4.0次/台，同比增长3.0次/台；冯家风电场台均1.86次/台，同比增长0.86次/台；北海风电场台均1.0次/台，同比下降1.88次/台；陈公风电场台均1.0次/台，同比下降0.29次/台；滨海风电场台均6.42次/台，同比增长3.52次/台；山东玉山风电场台均1.92次/台，同比增长0.42次/台。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（二）非停损失电量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2025年，公司风电机组非停损失电量209.26万kWh，</w:t>
      </w:r>
      <w:commentRangeStart w:id="6"/>
      <w:r>
        <w:rPr>
          <w:rFonts w:ascii="仿宋_GB2312" w:hAnsi="仿宋_GB2312" w:eastAsia="仿宋_GB2312"/>
          <w:b w:val="0"/>
          <w:color w:val="000000"/>
          <w:sz w:val="32"/>
        </w:rPr>
        <w:t>同比增长209.26万kWh。</w:t>
      </w:r>
      <w:commentRangeEnd w:id="6"/>
      <w:r>
        <w:commentReference w:id="6"/>
      </w:r>
      <w:r>
        <w:rPr>
          <w:rFonts w:ascii="仿宋_GB2312" w:hAnsi="仿宋_GB2312" w:eastAsia="仿宋_GB2312"/>
          <w:b w:val="0"/>
          <w:color w:val="000000"/>
          <w:sz w:val="32"/>
        </w:rPr>
        <w:t>东盘风电场非停损失电量1.29万kWh，</w:t>
      </w:r>
      <w:commentRangeStart w:id="7"/>
      <w:r>
        <w:rPr>
          <w:rFonts w:ascii="仿宋_GB2312" w:hAnsi="仿宋_GB2312" w:eastAsia="仿宋_GB2312"/>
          <w:b w:val="0"/>
          <w:color w:val="000000"/>
          <w:sz w:val="32"/>
        </w:rPr>
        <w:t>同比增长1.29万kWh；</w:t>
      </w:r>
      <w:commentRangeEnd w:id="7"/>
      <w:r>
        <w:commentReference w:id="7"/>
      </w:r>
      <w:r>
        <w:rPr>
          <w:rFonts w:ascii="仿宋_GB2312" w:hAnsi="仿宋_GB2312" w:eastAsia="仿宋_GB2312"/>
          <w:b w:val="0"/>
          <w:color w:val="000000"/>
          <w:sz w:val="32"/>
        </w:rPr>
        <w:t>冯家风电场非停损失电量58.43万kWh，</w:t>
      </w:r>
      <w:commentRangeStart w:id="8"/>
      <w:r>
        <w:rPr>
          <w:rFonts w:ascii="仿宋_GB2312" w:hAnsi="仿宋_GB2312" w:eastAsia="仿宋_GB2312"/>
          <w:b w:val="0"/>
          <w:color w:val="000000"/>
          <w:sz w:val="32"/>
        </w:rPr>
        <w:t>同比增长58.43万kWh；</w:t>
      </w:r>
      <w:commentRangeEnd w:id="8"/>
      <w:r>
        <w:commentReference w:id="8"/>
      </w:r>
      <w:r>
        <w:rPr>
          <w:rFonts w:ascii="仿宋_GB2312" w:hAnsi="仿宋_GB2312" w:eastAsia="仿宋_GB2312"/>
          <w:b w:val="0"/>
          <w:color w:val="000000"/>
          <w:sz w:val="32"/>
        </w:rPr>
        <w:t>北海风电场非停损失电量0.33万kWh，</w:t>
      </w:r>
      <w:commentRangeStart w:id="9"/>
      <w:r>
        <w:rPr>
          <w:rFonts w:ascii="仿宋_GB2312" w:hAnsi="仿宋_GB2312" w:eastAsia="仿宋_GB2312"/>
          <w:b w:val="0"/>
          <w:color w:val="000000"/>
          <w:sz w:val="32"/>
        </w:rPr>
        <w:t>同比增长0.33万kWh；</w:t>
      </w:r>
      <w:commentRangeEnd w:id="9"/>
      <w:r>
        <w:commentReference w:id="9"/>
      </w:r>
      <w:r>
        <w:rPr>
          <w:rFonts w:ascii="仿宋_GB2312" w:hAnsi="仿宋_GB2312" w:eastAsia="仿宋_GB2312"/>
          <w:b w:val="0"/>
          <w:color w:val="000000"/>
          <w:sz w:val="32"/>
        </w:rPr>
        <w:t>陈公风电场非停损失电量0.15万kWh，</w:t>
      </w:r>
      <w:commentRangeStart w:id="10"/>
      <w:r>
        <w:rPr>
          <w:rFonts w:ascii="仿宋_GB2312" w:hAnsi="仿宋_GB2312" w:eastAsia="仿宋_GB2312"/>
          <w:b w:val="0"/>
          <w:color w:val="000000"/>
          <w:sz w:val="32"/>
        </w:rPr>
        <w:t>同比增长0.15万kWh；</w:t>
      </w:r>
      <w:commentRangeEnd w:id="10"/>
      <w:r>
        <w:commentReference w:id="10"/>
      </w:r>
      <w:r>
        <w:rPr>
          <w:rFonts w:ascii="仿宋_GB2312" w:hAnsi="仿宋_GB2312" w:eastAsia="仿宋_GB2312"/>
          <w:b w:val="0"/>
          <w:color w:val="000000"/>
          <w:sz w:val="32"/>
        </w:rPr>
        <w:t>滨海风电场非停损失电量134.92万kWh，</w:t>
      </w:r>
      <w:commentRangeStart w:id="11"/>
      <w:r>
        <w:rPr>
          <w:rFonts w:ascii="仿宋_GB2312" w:hAnsi="仿宋_GB2312" w:eastAsia="仿宋_GB2312"/>
          <w:b w:val="0"/>
          <w:color w:val="000000"/>
          <w:sz w:val="32"/>
        </w:rPr>
        <w:t>同比增长134.92万kWh；</w:t>
      </w:r>
      <w:commentRangeEnd w:id="11"/>
      <w:r>
        <w:commentReference w:id="11"/>
      </w:r>
      <w:r>
        <w:rPr>
          <w:rFonts w:ascii="仿宋_GB2312" w:hAnsi="仿宋_GB2312" w:eastAsia="仿宋_GB2312"/>
          <w:b w:val="0"/>
          <w:color w:val="000000"/>
          <w:sz w:val="32"/>
        </w:rPr>
        <w:t>山东玉山风电场非停损失电量14.12万kWh，</w:t>
      </w:r>
      <w:commentRangeStart w:id="12"/>
      <w:r>
        <w:rPr>
          <w:rFonts w:ascii="仿宋_GB2312" w:hAnsi="仿宋_GB2312" w:eastAsia="仿宋_GB2312"/>
          <w:b w:val="0"/>
          <w:color w:val="000000"/>
          <w:sz w:val="32"/>
        </w:rPr>
        <w:t>同比增长14.12万kWh。</w:t>
      </w:r>
      <w:commentRangeEnd w:id="12"/>
      <w:r>
        <w:commentReference w:id="12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（三）非停超168h次数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2025年，公司风电机组超168h故障总次数0次，同比下降1.0次。山东玉山风电场0次，同比下降1.0次。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（四）机型停机次数</w:t>
      </w:r>
    </w:p>
    <w:p>
      <w:pPr>
        <w:ind w:firstLine="600"/>
        <w:jc w:val="left"/>
      </w:pPr>
      <w:commentRangeStart w:id="13"/>
      <w:r>
        <w:rPr>
          <w:rFonts w:ascii="仿宋_GB2312" w:hAnsi="仿宋_GB2312" w:eastAsia="仿宋_GB2312"/>
          <w:b w:val="0"/>
          <w:color w:val="000000"/>
          <w:sz w:val="32"/>
        </w:rPr>
        <w:t>金风1.5：2025年非停次数10次，同比增长0.1次；损失时间10，同比增长0.1；非停超168h次数10次，同比增长0.1次。</w:t>
      </w:r>
      <w:commentRangeEnd w:id="13"/>
      <w:r>
        <w:commentReference w:id="13"/>
      </w:r>
    </w:p>
    <w:p>
      <w:pPr>
        <w:pStyle w:val="4"/>
        <w:jc w:val="left"/>
      </w:pPr>
      <w:r>
        <w:rPr>
          <w:rFonts w:ascii="黑体" w:hAnsi="黑体" w:eastAsia="黑体"/>
          <w:b/>
          <w:color w:val="000000"/>
          <w:sz w:val="32"/>
        </w:rPr>
        <w:t>三、性能分析</w:t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（一）风机性能限功率</w:t>
      </w:r>
    </w:p>
    <w:p>
      <w:pPr>
        <w:ind w:firstLine="600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2025年，公司风电机组限功率总次数13529次，同比增长3162.0次，限功率电量损失1404.7万kWh，</w:t>
      </w:r>
      <w:commentRangeStart w:id="14"/>
      <w:r>
        <w:rPr>
          <w:rFonts w:ascii="仿宋_GB2312" w:hAnsi="仿宋_GB2312" w:eastAsia="仿宋_GB2312"/>
          <w:b w:val="0"/>
          <w:color w:val="000000"/>
          <w:sz w:val="32"/>
        </w:rPr>
        <w:t>同比增长1404.62万kWh。</w:t>
      </w:r>
      <w:commentRangeEnd w:id="14"/>
      <w:r>
        <w:commentReference w:id="14"/>
      </w:r>
      <w:r>
        <w:rPr>
          <w:rFonts w:ascii="仿宋_GB2312" w:hAnsi="仿宋_GB2312" w:eastAsia="仿宋_GB2312"/>
          <w:b w:val="0"/>
          <w:color w:val="000000"/>
          <w:sz w:val="32"/>
        </w:rPr>
        <w:t>山东玉山风电场限功率损失81.51万kWh，陈公风电场限功率损失75.93万kWh，滨海风电场限功率损失207.33万kWh，东盘风电场限功率损失4.65万kWh，冯家风电场限功率损失843.82万kWh，北海风电场限功率损失191.46万kWh。</w:t>
      </w:r>
    </w:p>
    <w:p>
      <w:pPr>
        <w:pStyle w:val="4"/>
        <w:jc w:val="left"/>
      </w:pPr>
      <w:commentRangeStart w:id="15"/>
      <w:r>
        <w:rPr>
          <w:rFonts w:ascii="黑体" w:hAnsi="黑体" w:eastAsia="黑体"/>
          <w:b/>
          <w:color w:val="000000"/>
          <w:sz w:val="32"/>
        </w:rPr>
        <w:t>四、公司主要生产指标汇总表</w:t>
      </w:r>
      <w:commentRangeEnd w:id="15"/>
      <w:r>
        <w:commentReference w:id="15"/>
      </w:r>
    </w:p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（一）发电量（集团指标）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2025年实际发电量（万kWh）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2025年计划发电量（万kWh）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同比增加/减少发电量（万kWh）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同比上升/下降百分比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76198.2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11058.52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-47113.4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-38.21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10448.1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1413.52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-7333.72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-41.24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15636.6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2228.26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-9705.27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-38.3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10416.7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1751.98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-6978.53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bookmarkStart w:id="0" w:name="_GoBack"/>
            <w:bookmarkEnd w:id="0"/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-40.12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11539.07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2027.09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-9508.84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-45.18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16073.94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1961.0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-7886.53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-32.91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12083.78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1676.67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-5700.51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-32.05</w:t>
            </w:r>
          </w:p>
        </w:tc>
      </w:tr>
    </w:tbl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（二）长周期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2025年长周期台数（台）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</w:t>
            </w:r>
          </w:p>
        </w:tc>
      </w:tr>
    </w:tbl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（三）风能利用率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同比上升/下降比例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2025年风能利用率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-3.89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-3.89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-1.78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-15.23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82.97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-1.25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-2.63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-0.96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0.86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1.3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99.12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0.43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96.52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-1.14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-2.35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-5.65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92.16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-2.83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96.9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0.83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99.3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-0.8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99.12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-2.0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-2.95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93.85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-1.73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-0.78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-3.43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95.99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-2.16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-2.32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-2.41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96.95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-0.76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14.67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-1.38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-1.23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95.92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-1.39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97.98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-6.72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91.78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-2.58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95.91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9.34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-0.91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-1.13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98.62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-1.05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96.85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-1.63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96.88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-4.69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94.48</w:t>
            </w:r>
          </w:p>
        </w:tc>
      </w:tr>
    </w:tbl>
    <w:p>
      <w:pPr>
        <w:pStyle w:val="5"/>
        <w:jc w:val="left"/>
      </w:pPr>
      <w:r>
        <w:rPr>
          <w:rFonts w:ascii="楷体_GB2312" w:hAnsi="楷体_GB2312" w:eastAsia="楷体_GB2312"/>
          <w:b/>
          <w:color w:val="000000"/>
          <w:sz w:val="32"/>
        </w:rPr>
        <w:t>（四）综合场用电率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单位名称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2025年综合场用电率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同比上升/下降比例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山东龙源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2.55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-0.2997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东盘风电场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3.34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冯家风电场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2.49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滨海风电场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2.65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山东玉山风电场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1.99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陈公风电场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2.31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北海风电场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2.7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-0.54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dmin" w:date="2025-07-04T10:47:04Z" w:initials="a">
    <w:p w14:paraId="011E421E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" w:author="admin" w:date="2025-07-04T10:47:32Z" w:initials="a">
    <w:p w14:paraId="1C4105A1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2" w:author="admin" w:date="2025-07-04T10:48:03Z" w:initials="a">
    <w:p w14:paraId="52E071D8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3" w:author="admin" w:date="2025-07-04T10:48:39Z" w:initials="a">
    <w:p w14:paraId="68AB3FCC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4" w:author="admin" w:date="2025-07-04T10:49:15Z" w:initials="a">
    <w:p w14:paraId="20F80014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5" w:author="admin" w:date="2025-07-04T10:49:24Z" w:initials="a">
    <w:p w14:paraId="6DA6715F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6" w:author="admin" w:date="2025-07-04T10:50:39Z" w:initials="a">
    <w:p w14:paraId="21FC5C51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7" w:author="admin" w:date="2025-07-04T10:50:45Z" w:initials="a">
    <w:p w14:paraId="31972766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8" w:author="admin" w:date="2025-07-04T10:50:55Z" w:initials="a">
    <w:p w14:paraId="039F2AAD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9" w:author="admin" w:date="2025-07-04T10:51:02Z" w:initials="a">
    <w:p w14:paraId="64E14A9B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0" w:author="admin" w:date="2025-07-04T10:51:07Z" w:initials="a">
    <w:p w14:paraId="37815A4D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1" w:author="admin" w:date="2025-07-04T10:51:13Z" w:initials="a">
    <w:p w14:paraId="355B08E8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2" w:author="admin" w:date="2025-07-04T10:51:18Z" w:initials="a">
    <w:p w14:paraId="024C7AFF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3" w:author="admin" w:date="2025-07-04T10:52:23Z" w:initials="a">
    <w:p w14:paraId="76017828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4" w:author="admin" w:date="2025-07-04T10:53:20Z" w:initials="a">
    <w:p w14:paraId="00FC161E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  <w:comment w:id="15" w:author="admin" w:date="2025-07-04T10:54:07Z" w:initials="a">
    <w:p w14:paraId="6EE9562E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11E421E" w15:done="0"/>
  <w15:commentEx w15:paraId="1C4105A1" w15:done="0"/>
  <w15:commentEx w15:paraId="52E071D8" w15:done="0"/>
  <w15:commentEx w15:paraId="68AB3FCC" w15:done="0"/>
  <w15:commentEx w15:paraId="20F80014" w15:done="0"/>
  <w15:commentEx w15:paraId="6DA6715F" w15:done="0"/>
  <w15:commentEx w15:paraId="21FC5C51" w15:done="0"/>
  <w15:commentEx w15:paraId="31972766" w15:done="0"/>
  <w15:commentEx w15:paraId="039F2AAD" w15:done="0"/>
  <w15:commentEx w15:paraId="64E14A9B" w15:done="0"/>
  <w15:commentEx w15:paraId="37815A4D" w15:done="0"/>
  <w15:commentEx w15:paraId="355B08E8" w15:done="0"/>
  <w15:commentEx w15:paraId="024C7AFF" w15:done="0"/>
  <w15:commentEx w15:paraId="76017828" w15:done="0"/>
  <w15:commentEx w15:paraId="00FC161E" w15:done="0"/>
  <w15:commentEx w15:paraId="6EE9562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F5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2025-07-04T02:54:11Z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78B5D82F5AA04EDAAA5B51E13DFCFB7C</vt:lpwstr>
  </property>
</Properties>
</file>