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山东龙源新能源有限公司</w:t>
      </w:r>
    </w:p>
    <w:p>
      <w:pPr>
        <w:pStyle w:val="3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2025年05月运行分析</w:t>
      </w: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pStyle w:val="4"/>
        <w:jc w:val="center"/>
      </w:pPr>
      <w:r>
        <w:rPr>
          <w:rFonts w:ascii="楷体_GB2312" w:hAnsi="楷体_GB2312" w:eastAsia="楷体_GB2312"/>
          <w:b w:val="0"/>
          <w:color w:val="000000"/>
          <w:sz w:val="32"/>
        </w:rPr>
        <w:t>山东龙源新能源有限公司</w:t>
      </w:r>
    </w:p>
    <w:p>
      <w:pPr>
        <w:pStyle w:val="4"/>
        <w:jc w:val="center"/>
      </w:pPr>
      <w:r>
        <w:rPr>
          <w:rFonts w:ascii="楷体_GB2312" w:hAnsi="楷体_GB2312" w:eastAsia="楷体_GB2312"/>
          <w:b w:val="0"/>
          <w:color w:val="000000"/>
          <w:sz w:val="32"/>
        </w:rPr>
        <w:t>2025年04月01日</w:t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一、总体情况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（一）发电量</w:t>
      </w:r>
    </w:p>
    <w:p>
      <w:pPr>
        <w:ind w:firstLine="600"/>
        <w:jc w:val="left"/>
      </w:pPr>
      <w:commentRangeStart w:id="0"/>
      <w:r>
        <w:rPr>
          <w:rFonts w:ascii="仿宋_GB2312" w:hAnsi="仿宋_GB2312" w:eastAsia="仿宋_GB2312"/>
          <w:b w:val="0"/>
          <w:color w:val="000000"/>
          <w:sz w:val="32"/>
        </w:rPr>
        <w:t>2025年05月，全公司发电量1.32亿千瓦时，同比增长0.08亿千瓦时，增幅6.34%。东盘风电场发电量0.18亿千瓦时，冯家风电场发电量0.27亿千瓦时，滨海风电场发电量0.17亿千瓦时，山东玉山风电场发电量0.2亿千瓦时，陈公风电场发电量0.3亿千瓦时，北海风电场发电量0.2亿千瓦时。</w:t>
      </w:r>
      <w:commentRangeEnd w:id="0"/>
      <w:r>
        <w:commentReference w:id="0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（二）长周期运行</w:t>
      </w:r>
    </w:p>
    <w:p>
      <w:pPr>
        <w:ind w:firstLine="600"/>
        <w:jc w:val="left"/>
      </w:pPr>
      <w:commentRangeStart w:id="1"/>
      <w:r>
        <w:rPr>
          <w:rFonts w:ascii="仿宋_GB2312" w:hAnsi="仿宋_GB2312" w:eastAsia="仿宋_GB2312"/>
          <w:b w:val="0"/>
          <w:color w:val="000000"/>
          <w:sz w:val="32"/>
        </w:rPr>
        <w:t>截止2025年05月，全公司长周期运行231台，同比增长0.87台。北海风电场长周期运行36台，同比增长0.0台；山东玉山风电场长周期运行46台，同比增长0.0台；陈公风电场长周期运行44台，同比增长0.0台；冯家风电场长周期运行37台，同比增长5.71台；东盘风电场长周期运行21台，同比下降4.55台；滨海风电场长周期运行47台，同比增长2.17台。</w:t>
      </w:r>
      <w:commentRangeEnd w:id="1"/>
      <w:r>
        <w:commentReference w:id="1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（三）风能利用率（β值）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2025年05月，全公司风能利用率96.56%，</w:t>
      </w:r>
      <w:commentRangeStart w:id="2"/>
      <w:r>
        <w:rPr>
          <w:rFonts w:ascii="仿宋_GB2312" w:hAnsi="仿宋_GB2312" w:eastAsia="仿宋_GB2312"/>
          <w:b w:val="0"/>
          <w:color w:val="000000"/>
          <w:sz w:val="32"/>
        </w:rPr>
        <w:t>同比增长10.0%。</w:t>
      </w:r>
      <w:commentRangeEnd w:id="2"/>
      <w:r>
        <w:commentReference w:id="2"/>
      </w:r>
      <w:r>
        <w:rPr>
          <w:rFonts w:ascii="仿宋_GB2312" w:hAnsi="仿宋_GB2312" w:eastAsia="仿宋_GB2312"/>
          <w:b w:val="0"/>
          <w:color w:val="000000"/>
          <w:sz w:val="32"/>
        </w:rPr>
        <w:t>陈公风电场风能利用率97.86%，</w:t>
      </w:r>
      <w:commentRangeStart w:id="3"/>
      <w:r>
        <w:rPr>
          <w:rFonts w:ascii="仿宋_GB2312" w:hAnsi="仿宋_GB2312" w:eastAsia="仿宋_GB2312"/>
          <w:b w:val="0"/>
          <w:color w:val="000000"/>
          <w:sz w:val="32"/>
        </w:rPr>
        <w:t>同比增长0.0%</w:t>
      </w:r>
      <w:commentRangeEnd w:id="3"/>
      <w:r>
        <w:commentReference w:id="3"/>
      </w:r>
      <w:r>
        <w:rPr>
          <w:rFonts w:ascii="仿宋_GB2312" w:hAnsi="仿宋_GB2312" w:eastAsia="仿宋_GB2312"/>
          <w:b w:val="0"/>
          <w:color w:val="000000"/>
          <w:sz w:val="32"/>
        </w:rPr>
        <w:t>；东盘风电场风能利用率98.62%，</w:t>
      </w:r>
      <w:commentRangeStart w:id="4"/>
      <w:r>
        <w:rPr>
          <w:rFonts w:ascii="仿宋_GB2312" w:hAnsi="仿宋_GB2312" w:eastAsia="仿宋_GB2312"/>
          <w:b w:val="0"/>
          <w:color w:val="000000"/>
          <w:sz w:val="32"/>
        </w:rPr>
        <w:t>同比增长0.0%</w:t>
      </w:r>
      <w:commentRangeEnd w:id="4"/>
      <w:r>
        <w:commentReference w:id="4"/>
      </w:r>
      <w:r>
        <w:rPr>
          <w:rFonts w:ascii="仿宋_GB2312" w:hAnsi="仿宋_GB2312" w:eastAsia="仿宋_GB2312"/>
          <w:b w:val="0"/>
          <w:color w:val="000000"/>
          <w:sz w:val="32"/>
        </w:rPr>
        <w:t>；山东玉山风电场风能利用率97.04%，</w:t>
      </w:r>
      <w:commentRangeStart w:id="5"/>
      <w:r>
        <w:rPr>
          <w:rFonts w:ascii="仿宋_GB2312" w:hAnsi="仿宋_GB2312" w:eastAsia="仿宋_GB2312"/>
          <w:b w:val="0"/>
          <w:color w:val="000000"/>
          <w:sz w:val="32"/>
        </w:rPr>
        <w:t>同比增长0.0%；</w:t>
      </w:r>
      <w:commentRangeEnd w:id="5"/>
      <w:r>
        <w:commentReference w:id="5"/>
      </w:r>
      <w:r>
        <w:rPr>
          <w:rFonts w:ascii="仿宋_GB2312" w:hAnsi="仿宋_GB2312" w:eastAsia="仿宋_GB2312"/>
          <w:b w:val="0"/>
          <w:color w:val="000000"/>
          <w:sz w:val="32"/>
        </w:rPr>
        <w:t>滨海风电场风能利用率93.85%，</w:t>
      </w:r>
      <w:commentRangeStart w:id="6"/>
      <w:r>
        <w:rPr>
          <w:rFonts w:ascii="仿宋_GB2312" w:hAnsi="仿宋_GB2312" w:eastAsia="仿宋_GB2312"/>
          <w:b w:val="0"/>
          <w:color w:val="000000"/>
          <w:sz w:val="32"/>
        </w:rPr>
        <w:t>同比增长0.0%；</w:t>
      </w:r>
      <w:commentRangeEnd w:id="6"/>
      <w:r>
        <w:commentReference w:id="6"/>
      </w:r>
      <w:r>
        <w:rPr>
          <w:rFonts w:ascii="仿宋_GB2312" w:hAnsi="仿宋_GB2312" w:eastAsia="仿宋_GB2312"/>
          <w:b w:val="0"/>
          <w:color w:val="000000"/>
          <w:sz w:val="32"/>
        </w:rPr>
        <w:t>冯家风电场风能利用率95.92%，同比增长0.0%；北海风电场风能利用率95.91%，</w:t>
      </w:r>
      <w:commentRangeStart w:id="7"/>
      <w:r>
        <w:rPr>
          <w:rFonts w:ascii="仿宋_GB2312" w:hAnsi="仿宋_GB2312" w:eastAsia="仿宋_GB2312"/>
          <w:b w:val="0"/>
          <w:color w:val="000000"/>
          <w:sz w:val="32"/>
        </w:rPr>
        <w:t>同比增长0.0%。</w:t>
      </w:r>
      <w:commentRangeEnd w:id="7"/>
      <w:r>
        <w:commentReference w:id="7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（四）综合场用电率</w:t>
      </w:r>
    </w:p>
    <w:p>
      <w:pPr>
        <w:ind w:firstLine="600"/>
        <w:jc w:val="left"/>
      </w:pPr>
      <w:commentRangeStart w:id="8"/>
      <w:r>
        <w:rPr>
          <w:rFonts w:ascii="仿宋_GB2312" w:hAnsi="仿宋_GB2312" w:eastAsia="仿宋_GB2312"/>
          <w:b w:val="0"/>
          <w:color w:val="000000"/>
          <w:sz w:val="32"/>
        </w:rPr>
        <w:t>2025年05月，全公司综合场用电率2.55%，同比下降0.08%。</w:t>
      </w:r>
      <w:commentRangeEnd w:id="8"/>
      <w:r>
        <w:commentReference w:id="8"/>
      </w:r>
      <w:r>
        <w:rPr>
          <w:rFonts w:ascii="仿宋_GB2312" w:hAnsi="仿宋_GB2312" w:eastAsia="仿宋_GB2312"/>
          <w:b w:val="0"/>
          <w:color w:val="000000"/>
          <w:sz w:val="32"/>
        </w:rPr>
        <w:t>东盘风电场综合场用电率3.41%，同比增长0.13%；冯家风电场综合场用电率2.55%，同比下降0.06%；滨海风电场综合场用电率2.52%，同比增长0.13%；山东玉山风电场综合场用电率2.14%，同比增长0.16%；陈公风电场综合场用电率2.23%，同比下降0.31%；北海风电场综合场用电率2.74%，同比下降0.39%。</w:t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二、风电机组运行情况分析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（一）台均故障次数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1、2025年05月，公司风电机组故障次数29次，台均1.32次/台，同比下降0.43次/台。</w:t>
      </w:r>
      <w:commentRangeStart w:id="9"/>
      <w:r>
        <w:rPr>
          <w:rFonts w:ascii="仿宋_GB2312" w:hAnsi="仿宋_GB2312" w:eastAsia="仿宋_GB2312"/>
          <w:b w:val="0"/>
          <w:color w:val="000000"/>
          <w:sz w:val="32"/>
        </w:rPr>
        <w:t>北海风电场台均1.0次/台，同比下降inf次/台；陈公风电场台均1.0次/台，同比下降inf次/台；滨海风电场台均1.39次/台，同比下降0.36次/台；山东玉山风电场台均1.0次/台，同比下降inf次/台。</w:t>
      </w:r>
      <w:commentRangeEnd w:id="9"/>
      <w:r>
        <w:commentReference w:id="9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（二）非停损失电量</w:t>
      </w:r>
    </w:p>
    <w:p>
      <w:pPr>
        <w:ind w:firstLine="600"/>
        <w:jc w:val="left"/>
      </w:pPr>
      <w:commentRangeStart w:id="10"/>
      <w:r>
        <w:rPr>
          <w:rFonts w:ascii="仿宋_GB2312" w:hAnsi="仿宋_GB2312" w:eastAsia="仿宋_GB2312"/>
          <w:b w:val="0"/>
          <w:color w:val="000000"/>
          <w:sz w:val="32"/>
        </w:rPr>
        <w:t>2025年05月，公司风电机组非停损失电量1.49万kWh，同比增长1.49万kWh。北海风电场非停损失电量0.04万kWh，同比增长0.04万kWh；陈公风电场非停损失电量0.03万kWh，同比增长0.03万kWh；滨海风电场非停损失电量1.37万kWh，同比增长1.37万kWh；山东玉山风电场非停损失电量0.06万kWh，同比增长0.06万kWh。</w:t>
      </w:r>
      <w:commentRangeEnd w:id="10"/>
      <w:r>
        <w:commentReference w:id="10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（三）非停超168h次数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2025年05月，公司风电机组超168h故障总次数0次，同比增长0.0次。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（四）机型停机次数</w:t>
      </w:r>
    </w:p>
    <w:p>
      <w:pPr>
        <w:ind w:firstLine="600"/>
        <w:jc w:val="left"/>
      </w:pPr>
      <w:commentRangeStart w:id="11"/>
      <w:r>
        <w:rPr>
          <w:rFonts w:ascii="仿宋_GB2312" w:hAnsi="仿宋_GB2312" w:eastAsia="仿宋_GB2312"/>
          <w:b w:val="0"/>
          <w:color w:val="000000"/>
          <w:sz w:val="32"/>
        </w:rPr>
        <w:t>金风1.5：2025年05月非停次数10次，同比增长0.1次；损失时间10，同比增长0.1；非停超168h次数10次，同比增长0.1次。</w:t>
      </w:r>
      <w:commentRangeEnd w:id="11"/>
      <w:r>
        <w:commentReference w:id="11"/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三、性能分析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（一）风机性能限功率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05月，公司风电机组限功率总次数3548次，同比增长3124.0次，限功率电量损失767.0万kWh，同比增长762.49万kWh。陈公风电场限功率损失60.03万kWh，山东玉山风电场限功率损失60.98万kWh，滨海风电场限功率损失54.91万kWh，北海风电场限功率损失113.24万kWh，冯家风电场限功率损失477.85万kWh。</w:t>
      </w:r>
      <w:bookmarkStart w:id="0" w:name="_GoBack"/>
      <w:bookmarkEnd w:id="0"/>
    </w:p>
    <w:p>
      <w:pPr>
        <w:pStyle w:val="4"/>
        <w:jc w:val="left"/>
      </w:pPr>
      <w:commentRangeStart w:id="12"/>
      <w:r>
        <w:rPr>
          <w:rFonts w:ascii="黑体" w:hAnsi="黑体" w:eastAsia="黑体"/>
          <w:b/>
          <w:color w:val="000000"/>
          <w:sz w:val="32"/>
        </w:rPr>
        <w:t>四、公司主要生产指标汇总表</w:t>
      </w:r>
      <w:commentRangeEnd w:id="12"/>
      <w:r>
        <w:commentReference w:id="12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（一）发电量（集团指标）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2025-05实际发电量（万kWh）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2025-05计划发电量（万kWh）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同比增加/减少发电量（万kWh）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同比上升/下降百分比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13244.16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12907.05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790.14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6.34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1752.02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1478.83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189.67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12.14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2736.93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2467.92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188.76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7.41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1699.94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2082.34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-196.05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-10.34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2029.03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1989.05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162.06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8.68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3048.78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3024.59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370.35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13.83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1977.46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1864.32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75.34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3.96</w:t>
            </w:r>
          </w:p>
        </w:tc>
      </w:tr>
    </w:tbl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（二）长周期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2025-05长周期台数（台）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231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0.0087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36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46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37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0.0571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-0.0455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47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0.0217</w:t>
            </w:r>
          </w:p>
        </w:tc>
      </w:tr>
    </w:tbl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（三）风能利用率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同比上升/下降比例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2025-05风能利用率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-1.91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-1.78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-2.35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-2.95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93.85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-1.23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95.92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-2.58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95.91</w:t>
            </w:r>
          </w:p>
        </w:tc>
      </w:tr>
    </w:tbl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（四）综合场用电率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2025-05综合场用电率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同比上升/下降比例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2.55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-0.0781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3.41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2.55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2.52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2.14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2.23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2.74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-0.39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55:08Z" w:initials="a">
    <w:p w14:paraId="34200144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" w:author="admin" w:date="2025-07-04T10:57:07Z" w:initials="a">
    <w:p w14:paraId="71F24934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2" w:author="admin" w:date="2025-07-04T10:57:36Z" w:initials="a">
    <w:p w14:paraId="54882CFA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3" w:author="admin" w:date="2025-07-04T10:58:39Z" w:initials="a">
    <w:p w14:paraId="7E102A9E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4" w:author="admin" w:date="2025-07-04T10:58:46Z" w:initials="a">
    <w:p w14:paraId="56DB0ECA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5" w:author="admin" w:date="2025-07-04T10:58:50Z" w:initials="a">
    <w:p w14:paraId="037A7D9A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6" w:author="admin" w:date="2025-07-04T10:58:54Z" w:initials="a">
    <w:p w14:paraId="34F05EB2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7" w:author="admin" w:date="2025-07-04T10:59:00Z" w:initials="a">
    <w:p w14:paraId="6B512F37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8" w:author="admin" w:date="2025-07-04T10:59:51Z" w:initials="a">
    <w:p w14:paraId="468A1060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9" w:author="admin" w:date="2025-07-04T11:01:04Z" w:initials="a">
    <w:p w14:paraId="1E1F5FB8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0" w:author="admin" w:date="2025-07-04T11:01:31Z" w:initials="a">
    <w:p w14:paraId="20224E48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1" w:author="admin" w:date="2025-07-04T11:02:00Z" w:initials="a">
    <w:p w14:paraId="78BA5644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2" w:author="admin" w:date="2025-07-04T11:03:40Z" w:initials="a">
    <w:p w14:paraId="4EE72AF3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4200144" w15:done="0"/>
  <w15:commentEx w15:paraId="71F24934" w15:done="0"/>
  <w15:commentEx w15:paraId="54882CFA" w15:done="0"/>
  <w15:commentEx w15:paraId="7E102A9E" w15:done="0"/>
  <w15:commentEx w15:paraId="56DB0ECA" w15:done="0"/>
  <w15:commentEx w15:paraId="037A7D9A" w15:done="0"/>
  <w15:commentEx w15:paraId="34F05EB2" w15:done="0"/>
  <w15:commentEx w15:paraId="6B512F37" w15:done="0"/>
  <w15:commentEx w15:paraId="468A1060" w15:done="0"/>
  <w15:commentEx w15:paraId="1E1F5FB8" w15:done="0"/>
  <w15:commentEx w15:paraId="20224E48" w15:done="0"/>
  <w15:commentEx w15:paraId="78BA5644" w15:done="0"/>
  <w15:commentEx w15:paraId="4EE72AF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EC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2025-07-04T03:03:46Z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174C44AA00F947D09D02F7001FE866CC</vt:lpwstr>
  </property>
</Properties>
</file>