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rFonts w:ascii="黑体" w:hAnsi="黑体" w:cs="黑体" w:eastAsia="黑体"/>
          <w:b w:val="true"/>
          <w:sz w:val="48"/>
        </w:rPr>
        <w:t>山东龙源新能源有限公司</w:t>
      </w:r>
    </w:p>
    <w:p>
      <w:pPr>
        <w:pStyle w:val="Title"/>
        <w:jc w:val="center"/>
      </w:pPr>
      <w:r>
        <w:rPr>
          <w:rFonts w:ascii="黑体" w:hAnsi="黑体" w:cs="黑体" w:eastAsia="黑体"/>
          <w:b w:val="true"/>
          <w:sz w:val="48"/>
        </w:rPr>
        <w:t>2025年5月运行分析</w:t>
      </w:r>
    </w:p>
    <w:p>
      <w:pPr>
        <w:jc w:val="center"/>
      </w:pPr>
      <w:r>
        <w:t xml:space="preserve">　　</w:t>
        <w:t>山东龙源新能源有限公司</w:t>
      </w:r>
    </w:p>
    <w:p>
      <w:pPr>
        <w:jc w:val="center"/>
      </w:pPr>
      <w:r>
        <w:t xml:space="preserve">　　</w:t>
        <w:t>2025年07月04日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一、总体情况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（一）发电量</w:t>
      </w:r>
    </w:p>
    <w:p>
      <w:r>
        <w:t xml:space="preserve">　　</w:t>
        <w:t>2025年5月，公司月发电量2.57亿千瓦时，同比增加0.94亿千瓦时，增幅57.67%。其中东盘风电场月发电量1752.02万千瓦时，冯家风电场月发电量2736.93万千瓦时，滨海风电场月发电量1699.94万千瓦时，山东玉山风电场月发电量2029.03万千瓦时，陈公风电场月发电量3048.78万千瓦时，北海风电场月发电量1977.46万千瓦时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（二）长周期</w:t>
      </w:r>
    </w:p>
    <w:p>
      <w:r>
        <w:t xml:space="preserve">　　</w:t>
        <w:t>截止5月，全公司长周期运行248台，同比下降3台；其中山东玉山风电场长周期运行47台，同比上升0台；北海风电场长周期运行36台，同比上升0台；陈公风电场长周期运行45台，同比上升0台；冯家风电场长周期运行38台，同比上升0台；东盘风电场长周期运行22台，同比上升0台；滨海风电场长周期运行60台，同比下降3台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（三）风能利用率</w:t>
      </w:r>
    </w:p>
    <w:p>
      <w:r>
        <w:t xml:space="preserve">　　</w:t>
        <w:t>2025年5月，公司风能利用率96.56%，同比下降1.91个百分点。其中陈公风电场风能利用率97.86%，同比下降1.78个百分点；东盘风电场风能利用率98.62%，同比下降1.04个百分点；山东玉山风电场风能利用率97.04%，同比下降2.35个百分点；滨海风电场风能利用率93.85%，同比下降2.95个百分点；冯家风电场风能利用率95.92%，同比下降1.23个百分点；北海风电场风能利用率95.91%，同比下降2.58个百分点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（四）综合场用电率</w:t>
      </w:r>
    </w:p>
    <w:p>
      <w:r>
        <w:t xml:space="preserve">　　</w:t>
        <w:t>2025年5月，公司综合场用电率2.55%，同比2.63个百分点。其中东盘风电场综合场用电率3.41%，同比上升0.13个百分点；冯家风电场综合场用电率2.55%，同比下降0.06个百分点；滨海风电场综合场用电率2.52%，同比上升0.13个百分点；山东玉山风电场综合场用电率2.14%，同比上升0.16个百分点；陈公风电场综合场用电率2.23%，同比下降0.31个百分点；北海风电场综合场用电率2.74%，同比下降0.39个百分点。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二、风电机组运行情况分析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（一）台均故障次数</w:t>
      </w:r>
    </w:p>
    <w:p>
      <w:r>
        <w:t xml:space="preserve">　　</w:t>
        <w:t>2025年5月，公司风电机组故障次数29次，月故障台均1.32次/台，同比下降0.43 次/台。其中北海风电场台均1.00次/台，同比上升0次/台；陈公风电场台均1.00次/台，同比上升0次/台；滨海风电场台均1.39次/台，同比下降0.36次/台；山东玉山风电场台均1.00次/台，同比上升0次/台；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（二）非停损失电量</w:t>
      </w:r>
    </w:p>
    <w:p>
      <w:r>
        <w:t xml:space="preserve">　　</w:t>
        <w:t>2025年5月，公司风电非停损失电量1.49万kWh，同比--%。其中北海风电场非停损失电量0.04万kWh，同比--%；陈公风电场非停损失电量0.03万kWh，同比--%；滨海风电场非停损失电量1.37万kWh，同比--%；山东玉山风电场非停损失电量0.06万kWh，同比--%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（三）非停超168h次数</w:t>
      </w:r>
    </w:p>
    <w:p>
      <w:r>
        <w:t xml:space="preserve">　　</w:t>
        <w:t>2025年5月，公司风电机组超168h故障总次数0次，同比上升0次。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（四）影响指标主要原因分析（按机型）</w:t>
      </w:r>
    </w:p>
    <w:p>
      <w:r>
        <w:t xml:space="preserve">　　</w:t>
        <w:t xml:space="preserve">1、联合动力UP121-2000：2025年5月非停次数1次，同比上升1.0次；损失电量316.90kWh，同比上升316.9kWh；非停超168h次数0次，同比上升0次。</w:t>
      </w:r>
      <w:r>
        <w:t xml:space="preserve">　　</w:t>
        <w:t xml:space="preserve">2、联合动力UP86-1500：2025年5月非停次数25次，同比上升25.0次；损失电量13693.63kWh，同比上升13693.62kWh；非停超168h次数0次，同比上升0次。</w:t>
      </w:r>
      <w:r>
        <w:t xml:space="preserve">　　</w:t>
        <w:t xml:space="preserve">3、远景EN110-2100：2025年5月非停次数3次，同比上升3.0次；损失电量934.28kWh，同比上升934.28kWh；非停超168h次数0次，同比上升0次。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三、性能分析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（一）风机性能限功率</w:t>
      </w:r>
    </w:p>
    <w:p>
      <w:r>
        <w:t xml:space="preserve">　　</w:t>
        <w:t>2025年5月，公司风电机组限功率总次数3548次，同比上升8.42%，机组限功率电量损失767.00万kWh，同比--%。其中东盘风电场风电场限功率损失0.00万kWh，冯家风电场风电场限功率损失477.85万kWh，北海风电场风电场限功率损失113.24万kWh，陈公风电场风电场限功率损失60.03万kWh，滨海风电场风电场限功率损失54.91万kWh，山东玉山风电场风电场限功率损失60.98万kWh，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四、 公司主要生产指标汇总表</w:t>
      </w:r>
    </w:p>
    <w:tbl>
      <w:tblPr>
        <w:tblW w:w="0" w:type="auto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汇总指标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山东龙源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东盘风电场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冯家风电场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滨海风电场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山东玉山风电场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陈公风电场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北海风电场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发电量（集团指标）(指标完成情况-发电量)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2025年5月实际发电量（万kWh）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1752.02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2736.93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1699.94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2029.03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3048.78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1977.46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2025年5月计划发电量（万kWh）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1478.83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2467.92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2082.34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1989.05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3024.59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1864.32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同比增加/减少发电量（万kWh）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增加0.94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增加189.67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增加188.76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增加196.05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增加162.06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增加370.35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增加75.34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同比增幅/降幅百分比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增幅57.67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增幅12.14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增幅7.41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增幅10.34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增幅8.68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增幅13.83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增幅3.96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长周期(无故障查询)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2025年5月长周期台数（台）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-4.76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0.00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风能利用率（指标完成情况-风能利用率)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2025年5月风能利用率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95.92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93.85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95.91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同比上升/下降百分点数%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下降2.58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综合场用电率（指标完成情况-综合场用电率）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2025年5月综合场用电率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2.74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2.63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下降0.39</w:t>
            </w:r>
          </w:p>
        </w:tc>
      </w:tr>
    </w:tbl>
    <w:p>
      <w:r>
        <w:br w:type="textWrapping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2025-07-04T08:02:10Z</dcterms:created>
  <dc:creator>Apache POI</dc:creator>
</cp:coreProperties>
</file>