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2025年5月龙源电力生产运营情况</w:t>
      </w:r>
    </w:p>
    <w:p>
      <w:pPr>
        <w:pStyle w:val="4"/>
        <w:jc w:val="center"/>
      </w:pPr>
      <w:r>
        <w:rPr>
          <w:rFonts w:ascii="楷体_GB2312" w:hAnsi="楷体_GB2312" w:eastAsia="楷体_GB2312"/>
          <w:b/>
          <w:color w:val="000000"/>
          <w:sz w:val="32"/>
        </w:rPr>
        <w:t>生产技术部</w:t>
      </w:r>
    </w:p>
    <w:p>
      <w:pPr>
        <w:pStyle w:val="4"/>
        <w:jc w:val="center"/>
      </w:pPr>
      <w:r>
        <w:rPr>
          <w:rFonts w:ascii="楷体_GB2312" w:hAnsi="楷体_GB2312" w:eastAsia="楷体_GB2312"/>
          <w:b/>
          <w:color w:val="000000"/>
          <w:sz w:val="32"/>
        </w:rPr>
        <w:t>2025年07月02日</w:t>
      </w:r>
    </w:p>
    <w:p>
      <w:pPr>
        <w:pStyle w:val="4"/>
        <w:jc w:val="left"/>
      </w:pPr>
      <w:r>
        <w:rPr>
          <w:rFonts w:ascii="黑体" w:hAnsi="黑体" w:eastAsia="黑体"/>
          <w:b/>
          <w:color w:val="000000"/>
          <w:sz w:val="32"/>
        </w:rPr>
        <w:t>一、指标完成情况</w:t>
      </w:r>
    </w:p>
    <w:p>
      <w:pPr>
        <w:pStyle w:val="4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（一）发电量</w:t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2025年5月，公司完成发电量55.6亿千瓦时（含风电和光伏总电量），欠计划0.01亿千瓦时，计划完成率99.99%。 其中风电完成45.05亿千瓦时，超计划0.93亿千瓦时，计划完成率102.11%； 光伏完成10.54亿千瓦时，欠计划0.94亿千瓦时，计划完成率91.85%。</w:t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 xml:space="preserve"> 年累计风电发电量240.64亿千瓦时，同比增长10.59亿千瓦时，增幅4.6%，完成公司年度计划的8.11%。</w:t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年累计光伏完成43.42亿千瓦时，同比增长15.95亿千瓦时，增幅58.06%，完成公司年度计划的7.73%。</w:t>
      </w:r>
    </w:p>
    <w:p>
      <w:pPr>
        <w:pStyle w:val="4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（二）风速及利用小时</w:t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2025年5月，平均风速5.95米/秒，同比增长0.12米/秒，平均利用小时185.2小时，同比下降2.56小时。</w:t>
      </w:r>
    </w:p>
    <w:p>
      <w:r>
        <w:drawing>
          <wp:inline distT="0" distB="0" distL="114300" distR="114300">
            <wp:extent cx="5486400" cy="3291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风电利用小时排名后5名单位是：南非龙源(23.1559小时)、海南龙源(67.2929小时)、西藏龙源(129.8864小时)、黑龙江龙源(133.5012小时)、浙江龙源(138.9725小时)。</w:t>
      </w:r>
    </w:p>
    <w:p/>
    <w:p>
      <w:r>
        <w:drawing>
          <wp:inline distT="0" distB="0" distL="114300" distR="114300">
            <wp:extent cx="5486400" cy="32918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截止2025年5月，累计平均风速6.05米/秒，同比增长0.13米/秒，累计平均利用小时994.47小时，同比下降30.16小时。</w:t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截止2025年5月，年累计风电利用小时排名后5名单位是：海南龙源(548.2801小时)、浙江龙源(638.8359小时)、青海龙源(716.689小时)、甘肃龙源(732.8997小时)、贵州龙源(739.9418小时)。</w:t>
      </w:r>
    </w:p>
    <w:p>
      <w:pPr>
        <w:pStyle w:val="4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（三）综合场用电率</w:t>
      </w:r>
    </w:p>
    <w:p>
      <w:pPr>
        <w:ind w:firstLine="600"/>
        <w:jc w:val="left"/>
        <w:rPr>
          <w:color w:val="0000FF"/>
        </w:rPr>
      </w:pPr>
      <w:r>
        <w:rPr>
          <w:rFonts w:ascii="仿宋_GB2312" w:hAnsi="仿宋_GB2312" w:eastAsia="仿宋_GB2312"/>
          <w:b w:val="0"/>
          <w:color w:val="000000"/>
          <w:sz w:val="32"/>
        </w:rPr>
        <w:t xml:space="preserve">2025年5月，公司平均综合场用电率2.69%，同比下降0.21。 </w:t>
      </w:r>
      <w:commentRangeStart w:id="0"/>
      <w:r>
        <w:rPr>
          <w:rFonts w:ascii="仿宋_GB2312" w:hAnsi="仿宋_GB2312" w:eastAsia="仿宋_GB2312"/>
          <w:b w:val="0"/>
          <w:color w:val="0000FF"/>
          <w:sz w:val="32"/>
        </w:rPr>
        <w:t>同比升高较多的单位是：海南龙源(2.78%)、广西龙源(0.46%)、海上龙源(0.41%)、西藏龙源(0.38%)、上海龙源(0.29%)。</w:t>
      </w:r>
    </w:p>
    <w:p>
      <w:pPr>
        <w:ind w:firstLine="600"/>
        <w:jc w:val="left"/>
        <w:rPr>
          <w:color w:val="0000FF"/>
        </w:rPr>
      </w:pPr>
      <w:r>
        <w:rPr>
          <w:rFonts w:ascii="仿宋_GB2312" w:hAnsi="仿宋_GB2312" w:eastAsia="仿宋_GB2312"/>
          <w:b w:val="0"/>
          <w:color w:val="0000FF"/>
          <w:sz w:val="32"/>
        </w:rPr>
        <w:t>截止2025年5月，累计综合场用电率2.69%，同比下降0.21%。 年累计同比升高较多的单位是：青海龙源(0.34%)、江西龙源(0.30%)、上海龙源(0.15%)、甘肃龙源(0.06%)、南非龙源(0.06%)。</w:t>
      </w:r>
      <w:commentRangeEnd w:id="0"/>
      <w:r>
        <w:commentReference w:id="0"/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32"/>
              </w:rPr>
              <w:t>区域公司名称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32"/>
              </w:rPr>
              <w:t>年同比升高率(%)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青海龙源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0.34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江西龙源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0.30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上海龙源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0.15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甘肃龙源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0.06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南非龙源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0.06</w:t>
            </w:r>
          </w:p>
        </w:tc>
      </w:tr>
    </w:tbl>
    <w:p/>
    <w:p>
      <w:pPr>
        <w:pStyle w:val="4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（四）风能利用率</w:t>
      </w:r>
    </w:p>
    <w:p>
      <w:pPr>
        <w:ind w:firstLine="600"/>
        <w:jc w:val="left"/>
        <w:rPr>
          <w:color w:val="0000FF"/>
        </w:rPr>
      </w:pPr>
      <w:commentRangeStart w:id="1"/>
      <w:r>
        <w:rPr>
          <w:rFonts w:ascii="仿宋_GB2312" w:hAnsi="仿宋_GB2312" w:eastAsia="仿宋_GB2312"/>
          <w:b w:val="0"/>
          <w:color w:val="0000FF"/>
          <w:sz w:val="32"/>
        </w:rPr>
        <w:t>2025年5月，未剔除自然因素，公司风能利用率96.78%，</w:t>
      </w:r>
      <w:r>
        <w:rPr>
          <w:rFonts w:ascii="仿宋_GB2312" w:hAnsi="仿宋_GB2312" w:eastAsia="仿宋_GB2312"/>
          <w:b w:val="0"/>
          <w:color w:val="0000FF"/>
          <w:sz w:val="32"/>
        </w:rPr>
        <w:t>同比增长1.66%。 同比降低较多的单位是：西藏龙源(-0.04%)、海上龙源(-0.04%)、辽宁龙源(-0.03%)、云南龙源(-0.02%)、山东龙源(-0.02%)。</w:t>
      </w:r>
      <w:commentRangeEnd w:id="1"/>
      <w:r>
        <w:commentReference w:id="1"/>
      </w:r>
    </w:p>
    <w:p/>
    <w:p>
      <w:pPr>
        <w:pStyle w:val="4"/>
        <w:jc w:val="left"/>
      </w:pPr>
      <w:r>
        <w:rPr>
          <w:rFonts w:ascii="黑体" w:hAnsi="黑体" w:eastAsia="黑体"/>
          <w:b/>
          <w:color w:val="000000"/>
          <w:sz w:val="32"/>
        </w:rPr>
        <w:t>二、检修管理</w:t>
      </w:r>
    </w:p>
    <w:p>
      <w:pPr>
        <w:pStyle w:val="4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（一）风电机组停机情况</w:t>
      </w:r>
    </w:p>
    <w:p>
      <w:pPr>
        <w:ind w:firstLine="600"/>
        <w:jc w:val="left"/>
      </w:pPr>
      <w:commentRangeStart w:id="2"/>
      <w:r>
        <w:rPr>
          <w:rFonts w:ascii="仿宋_GB2312" w:hAnsi="仿宋_GB2312" w:eastAsia="仿宋_GB2312"/>
          <w:b w:val="0"/>
          <w:color w:val="000000"/>
          <w:sz w:val="32"/>
        </w:rPr>
        <w:t>2025年5月，剔除自然因素，公司非计划停机时长11362.13小时，同比下降52265.29。 高于平均值较多的单位有：海上龙源(3883.06小时)、蒙东龙源(1132.85小时)、黑龙江龙源(1026.34小时)、甘肃龙源(983.22小时)、福建龙源(950.26小时)。</w:t>
      </w:r>
      <w:commentRangeEnd w:id="2"/>
      <w:r>
        <w:commentReference w:id="2"/>
      </w:r>
    </w:p>
    <w:p>
      <w:pPr>
        <w:ind w:firstLine="600"/>
        <w:jc w:val="left"/>
      </w:pPr>
      <w:commentRangeStart w:id="3"/>
      <w:r>
        <w:rPr>
          <w:rFonts w:ascii="仿宋_GB2312" w:hAnsi="仿宋_GB2312" w:eastAsia="仿宋_GB2312"/>
          <w:b w:val="0"/>
          <w:color w:val="000000"/>
          <w:sz w:val="32"/>
        </w:rPr>
        <w:t>截止2025年5月，长停机组（超过168小时）共4台，平均停运天数187。</w:t>
      </w:r>
      <w:commentRangeEnd w:id="3"/>
      <w:r>
        <w:commentReference w:id="3"/>
      </w:r>
    </w:p>
    <w:p>
      <w:pPr>
        <w:pStyle w:val="4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（二）输变电设备故障情况</w:t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详见生产部统计</w:t>
      </w:r>
    </w:p>
    <w:p>
      <w:pPr>
        <w:pStyle w:val="4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（三）输变电预试情况</w:t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详见生产部统计</w:t>
      </w:r>
    </w:p>
    <w:p/>
    <w:p>
      <w:pPr>
        <w:pStyle w:val="4"/>
        <w:jc w:val="left"/>
      </w:pPr>
      <w:r>
        <w:rPr>
          <w:rFonts w:ascii="黑体" w:hAnsi="黑体" w:eastAsia="黑体"/>
          <w:b/>
          <w:color w:val="000000"/>
          <w:sz w:val="32"/>
        </w:rPr>
        <w:t>三、数字化管理</w:t>
      </w:r>
    </w:p>
    <w:p>
      <w:pPr>
        <w:pStyle w:val="4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（一）设备在线率</w:t>
      </w:r>
    </w:p>
    <w:p>
      <w:pPr>
        <w:ind w:firstLine="600"/>
        <w:jc w:val="left"/>
      </w:pPr>
      <w:commentRangeStart w:id="4"/>
      <w:r>
        <w:rPr>
          <w:rFonts w:ascii="仿宋_GB2312" w:hAnsi="仿宋_GB2312" w:eastAsia="仿宋_GB2312"/>
          <w:b w:val="0"/>
          <w:color w:val="000000"/>
          <w:sz w:val="32"/>
        </w:rPr>
        <w:t>2025年5月，公司数字化设备平均在线率99.25%，环比0.31%。</w:t>
      </w:r>
      <w:commentRangeEnd w:id="4"/>
      <w:r>
        <w:commentReference w:id="4"/>
      </w:r>
      <w:r>
        <w:rPr>
          <w:rFonts w:ascii="仿宋_GB2312" w:hAnsi="仿宋_GB2312" w:eastAsia="仿宋_GB2312"/>
          <w:b w:val="0"/>
          <w:color w:val="000000"/>
          <w:sz w:val="32"/>
        </w:rPr>
        <w:t>排名靠前5名的单位是：川渝龙源(99.89%)、青海龙源(99.84%)、江西龙源(99.79%)、广西龙源(99.73%)、上海龙源(99.72%)；排名靠后且平均在线率低于99%单位是：陕西龙源(98.84%)、北京龙源(93.71%)。</w:t>
      </w:r>
    </w:p>
    <w:p>
      <w:pPr>
        <w:pStyle w:val="4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（二）监控系统通讯中断</w:t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2025年5月，单台风电机组非计划通讯中断时长57224.01小时，环比增长37493.34小时截止2025年5月，排前5名单位是：青海龙源(43539.35小时)、吉林龙源(4845.85小时)、山西龙源(3353.83小时</w:t>
      </w:r>
      <w:bookmarkStart w:id="0" w:name="_GoBack"/>
      <w:bookmarkEnd w:id="0"/>
      <w:r>
        <w:rPr>
          <w:rFonts w:ascii="仿宋_GB2312" w:hAnsi="仿宋_GB2312" w:eastAsia="仿宋_GB2312"/>
          <w:b w:val="0"/>
          <w:color w:val="000000"/>
          <w:sz w:val="32"/>
        </w:rPr>
        <w:t>)、黑龙江龙源(1423.23小时)、蒙西龙源(1106.63小时)。截止2025年5月，</w:t>
      </w:r>
      <w:commentRangeStart w:id="5"/>
      <w:r>
        <w:rPr>
          <w:rFonts w:ascii="仿宋_GB2312" w:hAnsi="仿宋_GB2312" w:eastAsia="仿宋_GB2312"/>
          <w:b w:val="0"/>
          <w:color w:val="000000"/>
          <w:sz w:val="32"/>
        </w:rPr>
        <w:t>排后5名单位是：河南龙源(0.0小时)、福建龙源(0.0小时)、加拿大龙源(0.0小时)、陕西龙源(0.0小时)、南非龙源(0.0小时)。</w:t>
      </w:r>
      <w:commentRangeEnd w:id="5"/>
      <w:r>
        <w:commentReference w:id="5"/>
      </w:r>
      <w:r>
        <w:rPr>
          <w:rFonts w:ascii="仿宋_GB2312" w:hAnsi="仿宋_GB2312" w:eastAsia="仿宋_GB2312"/>
          <w:b w:val="0"/>
          <w:color w:val="000000"/>
          <w:sz w:val="32"/>
        </w:rPr>
        <w:t>依据公司考核办法，将折算系数后纳入非计划停运统计。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dmin" w:date="2025-07-04T10:28:34Z" w:initials="a">
    <w:p w14:paraId="744F7547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  <w:p w14:paraId="23E82E2C">
      <w:pPr>
        <w:pStyle w:val="17"/>
        <w:rPr>
          <w:rFonts w:hint="eastAsia" w:eastAsia="宋体"/>
          <w:lang w:val="en-US" w:eastAsia="zh-CN"/>
        </w:rPr>
      </w:pPr>
    </w:p>
  </w:comment>
  <w:comment w:id="1" w:author="admin" w:date="2025-07-04T10:39:04Z" w:initials="a">
    <w:p w14:paraId="7CAD402B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2" w:author="admin" w:date="2025-07-04T10:42:40Z" w:initials="a">
    <w:p w14:paraId="13A93635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3" w:author="admin" w:date="2025-07-04T10:43:50Z" w:initials="a">
    <w:p w14:paraId="47921799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4" w:author="admin" w:date="2025-07-04T10:44:17Z" w:initials="a">
    <w:p w14:paraId="38C91237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5" w:author="admin" w:date="2025-07-04T10:45:46Z" w:initials="a">
    <w:p w14:paraId="563A2F03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3E82E2C" w15:done="0"/>
  <w15:commentEx w15:paraId="7CAD402B" w15:done="0"/>
  <w15:commentEx w15:paraId="13A93635" w15:done="0"/>
  <w15:commentEx w15:paraId="47921799" w15:done="0"/>
  <w15:commentEx w15:paraId="38C91237" w15:done="0"/>
  <w15:commentEx w15:paraId="563A2F03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F61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8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Office_11.8.0.16970_F1E327BC-269C-435d-A152-05C5408002CA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2025-07-04T02:46:01Z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2052-11.8.0.16970</vt:lpwstr>
  </property>
  <property fmtid="{D5CDD505-2E9C-101B-9397-08002B2CF9AE}" pid="3" name="ICV">
    <vt:lpwstr>479C84108AED4623AE3C43DB84655687</vt:lpwstr>
  </property>
</Properties>
</file>