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项目实施方案</w:t>
      </w:r>
    </w:p>
    <w:p>
      <w:r>
        <w:t>本方案旨在描述项目的总体实施路径、阶段划分与交付物定义，供项目组内部评审使用。</w:t>
      </w:r>
    </w:p>
    <w:p>
      <w:r>
        <w:t>方案编制依据为需求说明书 v2 与三次评审会议纪要，实施周期预计为十二周。</w:t>
      </w:r>
    </w:p>
    <w:p>
      <w:r>
        <w:t>【重点】</w:t>
      </w:r>
      <w:r>
        <w:rPr>
          <w:b/>
        </w:rPr>
        <w:t>本阶段需要</w:t>
      </w:r>
      <w:r>
        <w:t>确认数据口径与统计范围</w:t>
      </w:r>
      <w:r>
        <w:rPr>
          <w:i/>
        </w:rPr>
        <w:t>，避免后续返工。</w:t>
      </w:r>
    </w:p>
    <w:p>
      <w:pPr>
        <w:pStyle w:val="Heading2"/>
      </w:pPr>
      <w:r>
        <w:t>一、背景与目标</w:t>
      </w:r>
    </w:p>
    <w:p>
      <w:r>
        <w:t>现有系统在数据采集环节依赖人工录入，效率较低且易出错，亟需自动化改造。</w:t>
      </w:r>
    </w:p>
    <w:p>
      <w:r>
        <w:t>本期目标为打通采集、校验、汇总三个环节，形成可复用的标准流程。</w:t>
      </w:r>
    </w:p>
    <w:p>
      <w:pPr>
        <w:pStyle w:val="Heading3"/>
      </w:pPr>
      <w:r>
        <w:t>1.1 现状分析</w:t>
      </w:r>
    </w:p>
    <w:p>
      <w:r>
        <w:t>当前流程共涉及四个岗位、七个环节，其中三个环节存在重复录入。</w:t>
      </w:r>
    </w:p>
    <w:p>
      <w:r>
        <w:t>历史数据表明，人工录入环节的错误率约为百分之三，是主要风险点。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耗时（天）</w:t>
            </w:r>
          </w:p>
        </w:tc>
      </w:tr>
      <w:tr>
        <w:tc>
          <w:tcPr>
            <w:tcW w:type="dxa" w:w="2880"/>
          </w:tcPr>
          <w:p>
            <w:r>
              <w:t>数据采集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数据校验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上表列出的耗时不含评审等待时间，实际周期需额外预留五个工作日。</w:t>
      </w:r>
    </w:p>
    <w:p>
      <w:pPr>
        <w:pStyle w:val="Heading2"/>
      </w:pPr>
      <w:r>
        <w:t>二、实施计划</w:t>
      </w:r>
    </w:p>
    <w:p>
      <w:r>
        <w:t>实施分为三个阶段：准备期、执行期、验收期，各阶段交付物见下表。</w:t>
      </w:r>
    </w:p>
    <w:p>
      <w:r>
        <w:t>阶段之间设置评审节点，未通过评审不得进入下一阶段。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起止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</w:tr>
      <w:tr>
        <w:tc>
          <w:tcPr>
            <w:tcW w:type="dxa" w:w="2160"/>
          </w:tcPr>
          <w:p>
            <w:r>
              <w:t>准备期</w:t>
            </w:r>
          </w:p>
        </w:tc>
        <w:tc>
          <w:tcPr>
            <w:tcW w:type="dxa" w:w="2160"/>
          </w:tcPr>
          <w:p>
            <w:r>
              <w:t>W1-W3</w:t>
            </w:r>
          </w:p>
        </w:tc>
        <w:tc>
          <w:tcPr>
            <w:tcW w:type="dxa" w:w="2160"/>
          </w:tcPr>
          <w:p>
            <w:r>
              <w:t>需求确认书</w:t>
            </w:r>
          </w:p>
        </w:tc>
        <w:tc>
          <w:tcPr>
            <w:tcW w:type="dxa" w:w="2160"/>
          </w:tcPr>
          <w:p>
            <w:r>
              <w:t>评审通过</w:t>
            </w:r>
          </w:p>
        </w:tc>
      </w:tr>
    </w:tbl>
    <w:p>
      <w:r>
        <w:t>本方案自评审通过之日起生效，修订需经项目组三分之二以上成员同意。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