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Review Package - SafeExec</w:t>
      </w:r>
    </w:p>
    <w:p>
      <w:pPr>
        <w:ind w:left="360" w:right="360"/>
      </w:pPr>
      <w:r>
        <w:rPr>
          <w:b/>
          <w:i/>
        </w:rPr>
        <w:t>AI-use disclosure.</w:t>
      </w:r>
      <w:r>
        <w:rPr>
          <w:i/>
        </w:rPr>
        <w:t xml:space="preserve"> Drafted with Codex (GPT-5, Codex desktop app) from the approved W2 proposal, W3 literature/requirements brief, and W2 feedback. AI-drafted, student-revised. Key human-authored decisions carried into this document: Python-only scope, no-network/no-GPU/no-persistence boundaries, Docker-first build order, gVisor W7 fallback, HumanEval/MBPP subset use, adversarial taxonomy disclosure timing, and all success thresholds. Full audit trail: </w:t>
      </w:r>
      <w:r>
        <w:rPr>
          <w:i/>
        </w:rPr>
        <w:t>docs/ai-use-log.md (../ai-use-log.md)</w:t>
      </w:r>
      <w:r>
        <w:rPr>
          <w:i/>
        </w:rPr>
        <w:t>.</w:t>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b/>
                <w:sz w:val="16"/>
              </w:rPr>
              <w:t>Field</w:t>
            </w:r>
          </w:p>
        </w:tc>
        <w:tc>
          <w:tcPr>
            <w:tcW w:type="dxa" w:w="4680"/>
            <w:vAlign w:val="center"/>
            <w:tcMar>
              <w:top w:w="80" w:type="dxa"/>
              <w:start w:w="120" w:type="dxa"/>
              <w:bottom w:w="80" w:type="dxa"/>
              <w:end w:w="120" w:type="dxa"/>
            </w:tcMar>
            <w:shd w:fill="F2F4F7"/>
          </w:tcPr>
          <w:p>
            <w:pPr>
              <w:spacing w:after="0"/>
            </w:pPr>
            <w:r>
              <w:rPr>
                <w:b/>
                <w:sz w:val="16"/>
              </w:rPr>
              <w:t>Value</w:t>
            </w:r>
          </w:p>
        </w:tc>
      </w:tr>
      <w:tr>
        <w:tc>
          <w:tcPr>
            <w:tcW w:type="dxa" w:w="4680"/>
            <w:vAlign w:val="center"/>
            <w:tcMar>
              <w:top w:w="80" w:type="dxa"/>
              <w:start w:w="120" w:type="dxa"/>
              <w:bottom w:w="80" w:type="dxa"/>
              <w:end w:w="120" w:type="dxa"/>
            </w:tcMar>
          </w:tcPr>
          <w:p>
            <w:pPr>
              <w:spacing w:after="0"/>
            </w:pPr>
            <w:r>
              <w:rPr>
                <w:sz w:val="16"/>
              </w:rPr>
              <w:t>Document</w:t>
            </w:r>
          </w:p>
        </w:tc>
        <w:tc>
          <w:tcPr>
            <w:tcW w:type="dxa" w:w="4680"/>
            <w:vAlign w:val="center"/>
            <w:tcMar>
              <w:top w:w="80" w:type="dxa"/>
              <w:start w:w="120" w:type="dxa"/>
              <w:bottom w:w="80" w:type="dxa"/>
              <w:end w:w="120" w:type="dxa"/>
            </w:tcMar>
          </w:tcPr>
          <w:p>
            <w:pPr>
              <w:spacing w:after="0"/>
            </w:pPr>
            <w:r>
              <w:rPr>
                <w:sz w:val="16"/>
              </w:rPr>
              <w:t>CISC 699 Hard Stop 2: Design Review Package</w:t>
            </w:r>
          </w:p>
        </w:tc>
      </w:tr>
      <w:tr>
        <w:tc>
          <w:tcPr>
            <w:tcW w:type="dxa" w:w="4680"/>
            <w:vAlign w:val="center"/>
            <w:tcMar>
              <w:top w:w="80" w:type="dxa"/>
              <w:start w:w="120" w:type="dxa"/>
              <w:bottom w:w="80" w:type="dxa"/>
              <w:end w:w="120" w:type="dxa"/>
            </w:tcMar>
          </w:tcPr>
          <w:p>
            <w:pPr>
              <w:spacing w:after="0"/>
            </w:pPr>
            <w:r>
              <w:rPr>
                <w:sz w:val="16"/>
              </w:rPr>
              <w:t>Working title</w:t>
            </w:r>
          </w:p>
        </w:tc>
        <w:tc>
          <w:tcPr>
            <w:tcW w:type="dxa" w:w="4680"/>
            <w:vAlign w:val="center"/>
            <w:tcMar>
              <w:top w:w="80" w:type="dxa"/>
              <w:start w:w="120" w:type="dxa"/>
              <w:bottom w:w="80" w:type="dxa"/>
              <w:end w:w="120" w:type="dxa"/>
            </w:tcMar>
          </w:tcPr>
          <w:p>
            <w:pPr>
              <w:spacing w:after="0"/>
            </w:pPr>
            <w:r>
              <w:rPr>
                <w:sz w:val="16"/>
              </w:rPr>
              <w:t>SafeExec: A Hardened, Threat-Modeled Python Execution Sandbox for LLM-Agent Tool-Use</w:t>
            </w:r>
          </w:p>
        </w:tc>
      </w:tr>
      <w:tr>
        <w:tc>
          <w:tcPr>
            <w:tcW w:type="dxa" w:w="4680"/>
            <w:vAlign w:val="center"/>
            <w:tcMar>
              <w:top w:w="80" w:type="dxa"/>
              <w:start w:w="120" w:type="dxa"/>
              <w:bottom w:w="80" w:type="dxa"/>
              <w:end w:w="120" w:type="dxa"/>
            </w:tcMar>
          </w:tcPr>
          <w:p>
            <w:pPr>
              <w:spacing w:after="0"/>
            </w:pPr>
            <w:r>
              <w:rPr>
                <w:sz w:val="16"/>
              </w:rPr>
              <w:t>Student</w:t>
            </w:r>
          </w:p>
        </w:tc>
        <w:tc>
          <w:tcPr>
            <w:tcW w:type="dxa" w:w="4680"/>
            <w:vAlign w:val="center"/>
            <w:tcMar>
              <w:top w:w="80" w:type="dxa"/>
              <w:start w:w="120" w:type="dxa"/>
              <w:bottom w:w="80" w:type="dxa"/>
              <w:end w:w="120" w:type="dxa"/>
            </w:tcMar>
          </w:tcPr>
          <w:p>
            <w:pPr>
              <w:spacing w:after="0"/>
            </w:pPr>
            <w:r>
              <w:rPr>
                <w:sz w:val="16"/>
              </w:rPr>
              <w:t>Zixuan Liang (zliang1@my.harrisburgu.edu)</w:t>
            </w:r>
          </w:p>
        </w:tc>
      </w:tr>
      <w:tr>
        <w:tc>
          <w:tcPr>
            <w:tcW w:type="dxa" w:w="4680"/>
            <w:vAlign w:val="center"/>
            <w:tcMar>
              <w:top w:w="80" w:type="dxa"/>
              <w:start w:w="120" w:type="dxa"/>
              <w:bottom w:w="80" w:type="dxa"/>
              <w:end w:w="120" w:type="dxa"/>
            </w:tcMar>
          </w:tcPr>
          <w:p>
            <w:pPr>
              <w:spacing w:after="0"/>
            </w:pPr>
            <w:r>
              <w:rPr>
                <w:sz w:val="16"/>
              </w:rPr>
              <w:t>Program</w:t>
            </w:r>
          </w:p>
        </w:tc>
        <w:tc>
          <w:tcPr>
            <w:tcW w:type="dxa" w:w="4680"/>
            <w:vAlign w:val="center"/>
            <w:tcMar>
              <w:top w:w="80" w:type="dxa"/>
              <w:start w:w="120" w:type="dxa"/>
              <w:bottom w:w="80" w:type="dxa"/>
              <w:end w:w="120" w:type="dxa"/>
            </w:tcMar>
          </w:tcPr>
          <w:p>
            <w:pPr>
              <w:spacing w:after="0"/>
            </w:pPr>
            <w:r>
              <w:rPr>
                <w:sz w:val="16"/>
              </w:rPr>
              <w:t>M.S. Computer Information Sciences, Harrisburg University</w:t>
            </w:r>
          </w:p>
        </w:tc>
      </w:tr>
      <w:tr>
        <w:tc>
          <w:tcPr>
            <w:tcW w:type="dxa" w:w="4680"/>
            <w:vAlign w:val="center"/>
            <w:tcMar>
              <w:top w:w="80" w:type="dxa"/>
              <w:start w:w="120" w:type="dxa"/>
              <w:bottom w:w="80" w:type="dxa"/>
              <w:end w:w="120" w:type="dxa"/>
            </w:tcMar>
          </w:tcPr>
          <w:p>
            <w:pPr>
              <w:spacing w:after="0"/>
            </w:pPr>
            <w:r>
              <w:rPr>
                <w:sz w:val="16"/>
              </w:rPr>
              <w:t>Course</w:t>
            </w:r>
          </w:p>
        </w:tc>
        <w:tc>
          <w:tcPr>
            <w:tcW w:type="dxa" w:w="4680"/>
            <w:vAlign w:val="center"/>
            <w:tcMar>
              <w:top w:w="80" w:type="dxa"/>
              <w:start w:w="120" w:type="dxa"/>
              <w:bottom w:w="80" w:type="dxa"/>
              <w:end w:w="120" w:type="dxa"/>
            </w:tcMar>
          </w:tcPr>
          <w:p>
            <w:pPr>
              <w:spacing w:after="0"/>
            </w:pPr>
            <w:r>
              <w:rPr>
                <w:sz w:val="16"/>
              </w:rPr>
              <w:t>CISC 699-50-A-2026/Summer - Applied Project in Computer Information Sciences</w:t>
            </w:r>
          </w:p>
        </w:tc>
      </w:tr>
      <w:tr>
        <w:tc>
          <w:tcPr>
            <w:tcW w:type="dxa" w:w="4680"/>
            <w:vAlign w:val="center"/>
            <w:tcMar>
              <w:top w:w="80" w:type="dxa"/>
              <w:start w:w="120" w:type="dxa"/>
              <w:bottom w:w="80" w:type="dxa"/>
              <w:end w:w="120" w:type="dxa"/>
            </w:tcMar>
          </w:tcPr>
          <w:p>
            <w:pPr>
              <w:spacing w:after="0"/>
            </w:pPr>
            <w:r>
              <w:rPr>
                <w:sz w:val="16"/>
              </w:rPr>
              <w:t>Project advisor</w:t>
            </w:r>
          </w:p>
        </w:tc>
        <w:tc>
          <w:tcPr>
            <w:tcW w:type="dxa" w:w="4680"/>
            <w:vAlign w:val="center"/>
            <w:tcMar>
              <w:top w:w="80" w:type="dxa"/>
              <w:start w:w="120" w:type="dxa"/>
              <w:bottom w:w="80" w:type="dxa"/>
              <w:end w:w="120" w:type="dxa"/>
            </w:tcMar>
          </w:tcPr>
          <w:p>
            <w:pPr>
              <w:spacing w:after="0"/>
            </w:pPr>
            <w:r>
              <w:rPr>
                <w:sz w:val="16"/>
              </w:rPr>
              <w:t>Prof. Khalid Lateef</w:t>
            </w:r>
          </w:p>
        </w:tc>
      </w:tr>
      <w:tr>
        <w:tc>
          <w:tcPr>
            <w:tcW w:type="dxa" w:w="4680"/>
            <w:vAlign w:val="center"/>
            <w:tcMar>
              <w:top w:w="80" w:type="dxa"/>
              <w:start w:w="120" w:type="dxa"/>
              <w:bottom w:w="80" w:type="dxa"/>
              <w:end w:w="120" w:type="dxa"/>
            </w:tcMar>
          </w:tcPr>
          <w:p>
            <w:pPr>
              <w:spacing w:after="0"/>
            </w:pPr>
            <w:r>
              <w:rPr>
                <w:sz w:val="16"/>
              </w:rPr>
              <w:t>Course instructor</w:t>
            </w:r>
          </w:p>
        </w:tc>
        <w:tc>
          <w:tcPr>
            <w:tcW w:type="dxa" w:w="4680"/>
            <w:vAlign w:val="center"/>
            <w:tcMar>
              <w:top w:w="80" w:type="dxa"/>
              <w:start w:w="120" w:type="dxa"/>
              <w:bottom w:w="80" w:type="dxa"/>
              <w:end w:w="120" w:type="dxa"/>
            </w:tcMar>
          </w:tcPr>
          <w:p>
            <w:pPr>
              <w:spacing w:after="0"/>
            </w:pPr>
            <w:r>
              <w:rPr>
                <w:sz w:val="16"/>
              </w:rPr>
              <w:t>Dr. Majid Shaalan</w:t>
            </w:r>
          </w:p>
        </w:tc>
      </w:tr>
      <w:tr>
        <w:tc>
          <w:tcPr>
            <w:tcW w:type="dxa" w:w="4680"/>
            <w:vAlign w:val="center"/>
            <w:tcMar>
              <w:top w:w="80" w:type="dxa"/>
              <w:start w:w="120" w:type="dxa"/>
              <w:bottom w:w="80" w:type="dxa"/>
              <w:end w:w="120" w:type="dxa"/>
            </w:tcMar>
          </w:tcPr>
          <w:p>
            <w:pPr>
              <w:spacing w:after="0"/>
            </w:pPr>
            <w:r>
              <w:rPr>
                <w:sz w:val="16"/>
              </w:rPr>
              <w:t>Term</w:t>
            </w:r>
          </w:p>
        </w:tc>
        <w:tc>
          <w:tcPr>
            <w:tcW w:type="dxa" w:w="4680"/>
            <w:vAlign w:val="center"/>
            <w:tcMar>
              <w:top w:w="80" w:type="dxa"/>
              <w:start w:w="120" w:type="dxa"/>
              <w:bottom w:w="80" w:type="dxa"/>
              <w:end w:w="120" w:type="dxa"/>
            </w:tcMar>
          </w:tcPr>
          <w:p>
            <w:pPr>
              <w:spacing w:after="0"/>
            </w:pPr>
            <w:r>
              <w:rPr>
                <w:sz w:val="16"/>
              </w:rPr>
              <w:t>2026-05-09 to 2026-08-14</w:t>
            </w:r>
          </w:p>
        </w:tc>
      </w:tr>
      <w:tr>
        <w:tc>
          <w:tcPr>
            <w:tcW w:type="dxa" w:w="4680"/>
            <w:vAlign w:val="center"/>
            <w:tcMar>
              <w:top w:w="80" w:type="dxa"/>
              <w:start w:w="120" w:type="dxa"/>
              <w:bottom w:w="80" w:type="dxa"/>
              <w:end w:w="120" w:type="dxa"/>
            </w:tcMar>
          </w:tcPr>
          <w:p>
            <w:pPr>
              <w:spacing w:after="0"/>
            </w:pPr>
            <w:r>
              <w:rPr>
                <w:sz w:val="16"/>
              </w:rPr>
              <w:t>Assignment</w:t>
            </w:r>
          </w:p>
        </w:tc>
        <w:tc>
          <w:tcPr>
            <w:tcW w:type="dxa" w:w="4680"/>
            <w:vAlign w:val="center"/>
            <w:tcMar>
              <w:top w:w="80" w:type="dxa"/>
              <w:start w:w="120" w:type="dxa"/>
              <w:bottom w:w="80" w:type="dxa"/>
              <w:end w:w="120" w:type="dxa"/>
            </w:tcMar>
          </w:tcPr>
          <w:p>
            <w:pPr>
              <w:spacing w:after="0"/>
            </w:pPr>
            <w:r>
              <w:rPr>
                <w:sz w:val="16"/>
              </w:rPr>
              <w:t>04 Hard Stop 2: Design Review Package</w:t>
            </w:r>
          </w:p>
        </w:tc>
      </w:tr>
      <w:tr>
        <w:tc>
          <w:tcPr>
            <w:tcW w:type="dxa" w:w="4680"/>
            <w:vAlign w:val="center"/>
            <w:tcMar>
              <w:top w:w="80" w:type="dxa"/>
              <w:start w:w="120" w:type="dxa"/>
              <w:bottom w:w="80" w:type="dxa"/>
              <w:end w:w="120" w:type="dxa"/>
            </w:tcMar>
          </w:tcPr>
          <w:p>
            <w:pPr>
              <w:spacing w:after="0"/>
            </w:pPr>
            <w:r>
              <w:rPr>
                <w:sz w:val="16"/>
              </w:rPr>
              <w:t>Package version</w:t>
            </w:r>
          </w:p>
        </w:tc>
        <w:tc>
          <w:tcPr>
            <w:tcW w:type="dxa" w:w="4680"/>
            <w:vAlign w:val="center"/>
            <w:tcMar>
              <w:top w:w="80" w:type="dxa"/>
              <w:start w:w="120" w:type="dxa"/>
              <w:bottom w:w="80" w:type="dxa"/>
              <w:end w:w="120" w:type="dxa"/>
            </w:tcMar>
          </w:tcPr>
          <w:p>
            <w:pPr>
              <w:spacing w:after="0"/>
            </w:pPr>
            <w:r>
              <w:rPr>
                <w:sz w:val="16"/>
              </w:rPr>
              <w:t>1.0 design-review draft</w:t>
            </w:r>
          </w:p>
        </w:tc>
      </w:tr>
      <w:tr>
        <w:tc>
          <w:tcPr>
            <w:tcW w:type="dxa" w:w="4680"/>
            <w:vAlign w:val="center"/>
            <w:tcMar>
              <w:top w:w="80" w:type="dxa"/>
              <w:start w:w="120" w:type="dxa"/>
              <w:bottom w:w="80" w:type="dxa"/>
              <w:end w:w="120" w:type="dxa"/>
            </w:tcMar>
          </w:tcPr>
          <w:p>
            <w:pPr>
              <w:spacing w:after="0"/>
            </w:pPr>
            <w:r>
              <w:rPr>
                <w:sz w:val="16"/>
              </w:rPr>
              <w:t>Package date</w:t>
            </w:r>
          </w:p>
        </w:tc>
        <w:tc>
          <w:tcPr>
            <w:tcW w:type="dxa" w:w="4680"/>
            <w:vAlign w:val="center"/>
            <w:tcMar>
              <w:top w:w="80" w:type="dxa"/>
              <w:start w:w="120" w:type="dxa"/>
              <w:bottom w:w="80" w:type="dxa"/>
              <w:end w:w="120" w:type="dxa"/>
            </w:tcMar>
          </w:tcPr>
          <w:p>
            <w:pPr>
              <w:spacing w:after="0"/>
            </w:pPr>
            <w:r>
              <w:rPr>
                <w:sz w:val="16"/>
              </w:rPr>
              <w:t>2026-05-30</w:t>
            </w:r>
          </w:p>
        </w:tc>
      </w:tr>
      <w:tr>
        <w:tc>
          <w:tcPr>
            <w:tcW w:type="dxa" w:w="4680"/>
            <w:vAlign w:val="center"/>
            <w:tcMar>
              <w:top w:w="80" w:type="dxa"/>
              <w:start w:w="120" w:type="dxa"/>
              <w:bottom w:w="80" w:type="dxa"/>
              <w:end w:w="120" w:type="dxa"/>
            </w:tcMar>
          </w:tcPr>
          <w:p>
            <w:pPr>
              <w:spacing w:after="0"/>
            </w:pPr>
            <w:r>
              <w:rPr>
                <w:sz w:val="16"/>
              </w:rPr>
              <w:t>Submission target</w:t>
            </w:r>
          </w:p>
        </w:tc>
        <w:tc>
          <w:tcPr>
            <w:tcW w:type="dxa" w:w="4680"/>
            <w:vAlign w:val="center"/>
            <w:tcMar>
              <w:top w:w="80" w:type="dxa"/>
              <w:start w:w="120" w:type="dxa"/>
              <w:bottom w:w="80" w:type="dxa"/>
              <w:end w:w="120" w:type="dxa"/>
            </w:tcMar>
          </w:tcPr>
          <w:p>
            <w:pPr>
              <w:spacing w:after="0"/>
            </w:pPr>
            <w:r>
              <w:rPr>
                <w:sz w:val="16"/>
              </w:rPr>
              <w:t>Sunday, 2026-06-07, before 11:59pm</w:t>
            </w:r>
          </w:p>
        </w:tc>
      </w:tr>
      <w:tr>
        <w:tc>
          <w:tcPr>
            <w:tcW w:type="dxa" w:w="4680"/>
            <w:vAlign w:val="center"/>
            <w:tcMar>
              <w:top w:w="80" w:type="dxa"/>
              <w:start w:w="120" w:type="dxa"/>
              <w:bottom w:w="80" w:type="dxa"/>
              <w:end w:w="120" w:type="dxa"/>
            </w:tcMar>
          </w:tcPr>
          <w:p>
            <w:pPr>
              <w:spacing w:after="0"/>
            </w:pPr>
            <w:r>
              <w:rPr>
                <w:sz w:val="16"/>
              </w:rPr>
              <w:t>Source inputs</w:t>
            </w:r>
          </w:p>
        </w:tc>
        <w:tc>
          <w:tcPr>
            <w:tcW w:type="dxa" w:w="4680"/>
            <w:vAlign w:val="center"/>
            <w:tcMar>
              <w:top w:w="80" w:type="dxa"/>
              <w:start w:w="120" w:type="dxa"/>
              <w:bottom w:w="80" w:type="dxa"/>
              <w:end w:w="120" w:type="dxa"/>
            </w:tcMar>
          </w:tcPr>
          <w:p>
            <w:pPr>
              <w:spacing w:after="0"/>
            </w:pPr>
            <w:r>
              <w:rPr>
                <w:sz w:val="16"/>
              </w:rPr>
              <w:t>W2 proposal approval package, W3 literature/requirements brief, W2 approval feedback</w:t>
            </w:r>
          </w:p>
        </w:tc>
      </w:tr>
    </w:tbl>
    <w:p/>
    <w:p>
      <w:pPr>
        <w:pStyle w:val="Heading1"/>
      </w:pPr>
      <w:r>
        <w:t>1. Design Review Summary</w:t>
      </w:r>
    </w:p>
    <w:p>
      <w:r>
        <w:t xml:space="preserve">SafeExec will be implemented as a small synchronous Python execution service with a single external API and two internal executor backends: hardened Docker first, then gVisor through </w:t>
      </w:r>
      <w:r>
        <w:rPr>
          <w:rFonts w:ascii="Menlo" w:hAnsi="Menlo"/>
          <w:sz w:val="18"/>
        </w:rPr>
        <w:t>runsc</w:t>
      </w:r>
      <w:r>
        <w:t>. The design goal is not product breadth; it is a reproducible, threat-modeled comparison of isolation behavior and overhead for Python 3.11 code executed on behalf of LLM-agent workflows.</w:t>
      </w:r>
    </w:p>
    <w:p>
      <w:r>
        <w:t xml:space="preserve">The W2 feedback approved the concept and named execution risk as the main concern. This package responds by freezing optional scope and making the W5-W8 build path explicit. The implementation starts with a minimal </w:t>
      </w:r>
      <w:r>
        <w:rPr>
          <w:rFonts w:ascii="Menlo" w:hAnsi="Menlo"/>
          <w:sz w:val="18"/>
        </w:rPr>
        <w:t>POST /execute</w:t>
      </w:r>
      <w:r>
        <w:t xml:space="preserve"> path that can run "hello world" through Docker, then hardens resource and filesystem controls, then grows the test harness and adversarial taxonomy, and only then integrates gVisor. Every design choice below preserves the W3 requirements and success criteria.</w:t>
      </w:r>
    </w:p>
    <w:p>
      <w:r>
        <w:rPr>
          <w:b/>
        </w:rPr>
        <w:t>Primary design decision.</w:t>
      </w:r>
      <w:r>
        <w:t xml:space="preserve"> All functional tests, adversarial tests, benchmarks, and the reference-agent demo call the same </w:t>
      </w:r>
      <w:r>
        <w:rPr>
          <w:rFonts w:ascii="Menlo" w:hAnsi="Menlo"/>
          <w:sz w:val="18"/>
        </w:rPr>
        <w:t>POST /execute</w:t>
      </w:r>
      <w:r>
        <w:t xml:space="preserve"> API. This prevents the evaluation harness from becoming a separate special path and makes Docker-vs-gVisor comparisons methodologically clean.</w:t>
      </w:r>
    </w:p>
    <w:p>
      <w:pPr>
        <w:pStyle w:val="Heading1"/>
      </w:pPr>
      <w:r>
        <w:t>2. Requirements-to-Design Traceability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sz w:val="16"/>
              </w:rPr>
              <w:t>Requirement</w:t>
            </w:r>
          </w:p>
        </w:tc>
        <w:tc>
          <w:tcPr>
            <w:tcW w:type="dxa" w:w="3120"/>
            <w:vAlign w:val="center"/>
            <w:tcMar>
              <w:top w:w="80" w:type="dxa"/>
              <w:start w:w="120" w:type="dxa"/>
              <w:bottom w:w="80" w:type="dxa"/>
              <w:end w:w="120" w:type="dxa"/>
            </w:tcMar>
            <w:shd w:fill="F2F4F7"/>
          </w:tcPr>
          <w:p>
            <w:pPr>
              <w:spacing w:after="0"/>
            </w:pPr>
            <w:r>
              <w:rPr>
                <w:b/>
                <w:sz w:val="16"/>
              </w:rPr>
              <w:t>Design decision</w:t>
            </w:r>
          </w:p>
        </w:tc>
        <w:tc>
          <w:tcPr>
            <w:tcW w:type="dxa" w:w="3120"/>
            <w:vAlign w:val="center"/>
            <w:tcMar>
              <w:top w:w="80" w:type="dxa"/>
              <w:start w:w="120" w:type="dxa"/>
              <w:bottom w:w="80" w:type="dxa"/>
              <w:end w:w="120" w:type="dxa"/>
            </w:tcMar>
            <w:shd w:fill="F2F4F7"/>
          </w:tcPr>
          <w:p>
            <w:pPr>
              <w:spacing w:after="0"/>
            </w:pPr>
            <w:r>
              <w:rPr>
                <w:b/>
                <w:sz w:val="16"/>
              </w:rPr>
              <w:t>Evidence planned</w:t>
            </w:r>
          </w:p>
        </w:tc>
      </w:tr>
      <w:tr>
        <w:tc>
          <w:tcPr>
            <w:tcW w:type="dxa" w:w="3120"/>
            <w:vAlign w:val="center"/>
            <w:tcMar>
              <w:top w:w="80" w:type="dxa"/>
              <w:start w:w="120" w:type="dxa"/>
              <w:bottom w:w="80" w:type="dxa"/>
              <w:end w:w="120" w:type="dxa"/>
            </w:tcMar>
          </w:tcPr>
          <w:p>
            <w:pPr>
              <w:spacing w:after="0"/>
            </w:pPr>
            <w:r>
              <w:rPr>
                <w:sz w:val="16"/>
              </w:rPr>
              <w:t xml:space="preserve">FR-1 </w:t>
            </w:r>
            <w:r>
              <w:rPr>
                <w:rFonts w:ascii="Menlo" w:hAnsi="Menlo"/>
                <w:sz w:val="16"/>
              </w:rPr>
              <w:t>POST /execute</w:t>
            </w:r>
            <w:r>
              <w:rPr>
                <w:sz w:val="16"/>
              </w:rPr>
              <w:t xml:space="preserve"> API</w:t>
            </w:r>
          </w:p>
        </w:tc>
        <w:tc>
          <w:tcPr>
            <w:tcW w:type="dxa" w:w="3120"/>
            <w:vAlign w:val="center"/>
            <w:tcMar>
              <w:top w:w="80" w:type="dxa"/>
              <w:start w:w="120" w:type="dxa"/>
              <w:bottom w:w="80" w:type="dxa"/>
              <w:end w:w="120" w:type="dxa"/>
            </w:tcMar>
          </w:tcPr>
          <w:p>
            <w:pPr>
              <w:spacing w:after="0"/>
            </w:pPr>
            <w:r>
              <w:rPr>
                <w:sz w:val="16"/>
              </w:rPr>
              <w:t>FastAPI endpoint with Pydantic request/response models.</w:t>
            </w:r>
          </w:p>
        </w:tc>
        <w:tc>
          <w:tcPr>
            <w:tcW w:type="dxa" w:w="3120"/>
            <w:vAlign w:val="center"/>
            <w:tcMar>
              <w:top w:w="80" w:type="dxa"/>
              <w:start w:w="120" w:type="dxa"/>
              <w:bottom w:w="80" w:type="dxa"/>
              <w:end w:w="120" w:type="dxa"/>
            </w:tcMar>
          </w:tcPr>
          <w:p>
            <w:pPr>
              <w:spacing w:after="0"/>
            </w:pPr>
            <w:r>
              <w:rPr>
                <w:sz w:val="16"/>
              </w:rPr>
              <w:t>API integration test and OpenAPI schema snapshot.</w:t>
            </w:r>
          </w:p>
        </w:tc>
      </w:tr>
      <w:tr>
        <w:tc>
          <w:tcPr>
            <w:tcW w:type="dxa" w:w="3120"/>
            <w:vAlign w:val="center"/>
            <w:tcMar>
              <w:top w:w="80" w:type="dxa"/>
              <w:start w:w="120" w:type="dxa"/>
              <w:bottom w:w="80" w:type="dxa"/>
              <w:end w:w="120" w:type="dxa"/>
            </w:tcMar>
          </w:tcPr>
          <w:p>
            <w:pPr>
              <w:spacing w:after="0"/>
            </w:pPr>
            <w:r>
              <w:rPr>
                <w:sz w:val="16"/>
              </w:rPr>
              <w:t>FR-2 Docker + gVisor backends</w:t>
            </w:r>
          </w:p>
        </w:tc>
        <w:tc>
          <w:tcPr>
            <w:tcW w:type="dxa" w:w="3120"/>
            <w:vAlign w:val="center"/>
            <w:tcMar>
              <w:top w:w="80" w:type="dxa"/>
              <w:start w:w="120" w:type="dxa"/>
              <w:bottom w:w="80" w:type="dxa"/>
              <w:end w:w="120" w:type="dxa"/>
            </w:tcMar>
          </w:tcPr>
          <w:p>
            <w:pPr>
              <w:spacing w:after="0"/>
            </w:pPr>
            <w:r>
              <w:rPr>
                <w:sz w:val="16"/>
              </w:rPr>
              <w:t xml:space="preserve">Executor interface with </w:t>
            </w:r>
            <w:r>
              <w:rPr>
                <w:rFonts w:ascii="Menlo" w:hAnsi="Menlo"/>
                <w:sz w:val="16"/>
              </w:rPr>
              <w:t>DockerExecutor</w:t>
            </w:r>
            <w:r>
              <w:rPr>
                <w:sz w:val="16"/>
              </w:rPr>
              <w:t xml:space="preserve"> and </w:t>
            </w:r>
            <w:r>
              <w:rPr>
                <w:rFonts w:ascii="Menlo" w:hAnsi="Menlo"/>
                <w:sz w:val="16"/>
              </w:rPr>
              <w:t>GVisorExecutor</w:t>
            </w:r>
            <w:r>
              <w:rPr>
                <w:sz w:val="16"/>
              </w:rPr>
              <w:t xml:space="preserve"> implementations.</w:t>
            </w:r>
          </w:p>
        </w:tc>
        <w:tc>
          <w:tcPr>
            <w:tcW w:type="dxa" w:w="3120"/>
            <w:vAlign w:val="center"/>
            <w:tcMar>
              <w:top w:w="80" w:type="dxa"/>
              <w:start w:w="120" w:type="dxa"/>
              <w:bottom w:w="80" w:type="dxa"/>
              <w:end w:w="120" w:type="dxa"/>
            </w:tcMar>
          </w:tcPr>
          <w:p>
            <w:pPr>
              <w:spacing w:after="0"/>
            </w:pPr>
            <w:r>
              <w:rPr>
                <w:sz w:val="16"/>
              </w:rPr>
              <w:t>Same request executed under both backends.</w:t>
            </w:r>
          </w:p>
        </w:tc>
      </w:tr>
      <w:tr>
        <w:tc>
          <w:tcPr>
            <w:tcW w:type="dxa" w:w="3120"/>
            <w:vAlign w:val="center"/>
            <w:tcMar>
              <w:top w:w="80" w:type="dxa"/>
              <w:start w:w="120" w:type="dxa"/>
              <w:bottom w:w="80" w:type="dxa"/>
              <w:end w:w="120" w:type="dxa"/>
            </w:tcMar>
          </w:tcPr>
          <w:p>
            <w:pPr>
              <w:spacing w:after="0"/>
            </w:pPr>
            <w:r>
              <w:rPr>
                <w:sz w:val="16"/>
              </w:rPr>
              <w:t>FR-3 No network egress</w:t>
            </w:r>
          </w:p>
        </w:tc>
        <w:tc>
          <w:tcPr>
            <w:tcW w:type="dxa" w:w="3120"/>
            <w:vAlign w:val="center"/>
            <w:tcMar>
              <w:top w:w="80" w:type="dxa"/>
              <w:start w:w="120" w:type="dxa"/>
              <w:bottom w:w="80" w:type="dxa"/>
              <w:end w:w="120" w:type="dxa"/>
            </w:tcMar>
          </w:tcPr>
          <w:p>
            <w:pPr>
              <w:spacing w:after="0"/>
            </w:pPr>
            <w:r>
              <w:rPr>
                <w:sz w:val="16"/>
              </w:rPr>
              <w:t xml:space="preserve">Docker network mode </w:t>
            </w:r>
            <w:r>
              <w:rPr>
                <w:rFonts w:ascii="Menlo" w:hAnsi="Menlo"/>
                <w:sz w:val="16"/>
              </w:rPr>
              <w:t>none</w:t>
            </w:r>
            <w:r>
              <w:rPr>
                <w:sz w:val="16"/>
              </w:rPr>
              <w:t>; gVisor uses same no-network container configuration.</w:t>
            </w:r>
          </w:p>
        </w:tc>
        <w:tc>
          <w:tcPr>
            <w:tcW w:type="dxa" w:w="3120"/>
            <w:vAlign w:val="center"/>
            <w:tcMar>
              <w:top w:w="80" w:type="dxa"/>
              <w:start w:w="120" w:type="dxa"/>
              <w:bottom w:w="80" w:type="dxa"/>
              <w:end w:w="120" w:type="dxa"/>
            </w:tcMar>
          </w:tcPr>
          <w:p>
            <w:pPr>
              <w:spacing w:after="0"/>
            </w:pPr>
            <w:r>
              <w:rPr>
                <w:sz w:val="16"/>
              </w:rPr>
              <w:t>Network-egress adversarial tests return contained outcome.</w:t>
            </w:r>
          </w:p>
        </w:tc>
      </w:tr>
      <w:tr>
        <w:tc>
          <w:tcPr>
            <w:tcW w:type="dxa" w:w="3120"/>
            <w:vAlign w:val="center"/>
            <w:tcMar>
              <w:top w:w="80" w:type="dxa"/>
              <w:start w:w="120" w:type="dxa"/>
              <w:bottom w:w="80" w:type="dxa"/>
              <w:end w:w="120" w:type="dxa"/>
            </w:tcMar>
          </w:tcPr>
          <w:p>
            <w:pPr>
              <w:spacing w:after="0"/>
            </w:pPr>
            <w:r>
              <w:rPr>
                <w:sz w:val="16"/>
              </w:rPr>
              <w:t>FR-4 Ephemeral filesystem</w:t>
            </w:r>
          </w:p>
        </w:tc>
        <w:tc>
          <w:tcPr>
            <w:tcW w:type="dxa" w:w="3120"/>
            <w:vAlign w:val="center"/>
            <w:tcMar>
              <w:top w:w="80" w:type="dxa"/>
              <w:start w:w="120" w:type="dxa"/>
              <w:bottom w:w="80" w:type="dxa"/>
              <w:end w:w="120" w:type="dxa"/>
            </w:tcMar>
          </w:tcPr>
          <w:p>
            <w:pPr>
              <w:spacing w:after="0"/>
            </w:pPr>
            <w:r>
              <w:rPr>
                <w:sz w:val="16"/>
              </w:rPr>
              <w:t>Per-request workspace mounted into a short-lived container; workspace deleted after run.</w:t>
            </w:r>
          </w:p>
        </w:tc>
        <w:tc>
          <w:tcPr>
            <w:tcW w:type="dxa" w:w="3120"/>
            <w:vAlign w:val="center"/>
            <w:tcMar>
              <w:top w:w="80" w:type="dxa"/>
              <w:start w:w="120" w:type="dxa"/>
              <w:bottom w:w="80" w:type="dxa"/>
              <w:end w:w="120" w:type="dxa"/>
            </w:tcMar>
          </w:tcPr>
          <w:p>
            <w:pPr>
              <w:spacing w:after="0"/>
            </w:pPr>
            <w:r>
              <w:rPr>
                <w:sz w:val="16"/>
              </w:rPr>
              <w:t>Persistence negative test across two requests.</w:t>
            </w:r>
          </w:p>
        </w:tc>
      </w:tr>
      <w:tr>
        <w:tc>
          <w:tcPr>
            <w:tcW w:type="dxa" w:w="3120"/>
            <w:vAlign w:val="center"/>
            <w:tcMar>
              <w:top w:w="80" w:type="dxa"/>
              <w:start w:w="120" w:type="dxa"/>
              <w:bottom w:w="80" w:type="dxa"/>
              <w:end w:w="120" w:type="dxa"/>
            </w:tcMar>
          </w:tcPr>
          <w:p>
            <w:pPr>
              <w:spacing w:after="0"/>
            </w:pPr>
            <w:r>
              <w:rPr>
                <w:sz w:val="16"/>
              </w:rPr>
              <w:t>FR-5 Resource limits</w:t>
            </w:r>
          </w:p>
        </w:tc>
        <w:tc>
          <w:tcPr>
            <w:tcW w:type="dxa" w:w="3120"/>
            <w:vAlign w:val="center"/>
            <w:tcMar>
              <w:top w:w="80" w:type="dxa"/>
              <w:start w:w="120" w:type="dxa"/>
              <w:bottom w:w="80" w:type="dxa"/>
              <w:end w:w="120" w:type="dxa"/>
            </w:tcMar>
          </w:tcPr>
          <w:p>
            <w:pPr>
              <w:spacing w:after="0"/>
            </w:pPr>
            <w:r>
              <w:rPr>
                <w:sz w:val="16"/>
              </w:rPr>
              <w:t>CPU, wall-clock, memory, PID, and file-descriptor limits enforced at executor/supervisor layer.</w:t>
            </w:r>
          </w:p>
        </w:tc>
        <w:tc>
          <w:tcPr>
            <w:tcW w:type="dxa" w:w="3120"/>
            <w:vAlign w:val="center"/>
            <w:tcMar>
              <w:top w:w="80" w:type="dxa"/>
              <w:start w:w="120" w:type="dxa"/>
              <w:bottom w:w="80" w:type="dxa"/>
              <w:end w:w="120" w:type="dxa"/>
            </w:tcMar>
          </w:tcPr>
          <w:p>
            <w:pPr>
              <w:spacing w:after="0"/>
            </w:pPr>
            <w:r>
              <w:rPr>
                <w:sz w:val="16"/>
              </w:rPr>
              <w:t>Fork/memory/fd/time-limit adversarial tests.</w:t>
            </w:r>
          </w:p>
        </w:tc>
      </w:tr>
      <w:tr>
        <w:tc>
          <w:tcPr>
            <w:tcW w:type="dxa" w:w="3120"/>
            <w:vAlign w:val="center"/>
            <w:tcMar>
              <w:top w:w="80" w:type="dxa"/>
              <w:start w:w="120" w:type="dxa"/>
              <w:bottom w:w="80" w:type="dxa"/>
              <w:end w:w="120" w:type="dxa"/>
            </w:tcMar>
          </w:tcPr>
          <w:p>
            <w:pPr>
              <w:spacing w:after="0"/>
            </w:pPr>
            <w:r>
              <w:rPr>
                <w:sz w:val="16"/>
              </w:rPr>
              <w:t>FR-6 Structured metadata</w:t>
            </w:r>
          </w:p>
        </w:tc>
        <w:tc>
          <w:tcPr>
            <w:tcW w:type="dxa" w:w="3120"/>
            <w:vAlign w:val="center"/>
            <w:tcMar>
              <w:top w:w="80" w:type="dxa"/>
              <w:start w:w="120" w:type="dxa"/>
              <w:bottom w:w="80" w:type="dxa"/>
              <w:end w:w="120" w:type="dxa"/>
            </w:tcMar>
          </w:tcPr>
          <w:p>
            <w:pPr>
              <w:spacing w:after="0"/>
            </w:pPr>
            <w:r>
              <w:rPr>
                <w:sz w:val="16"/>
              </w:rPr>
              <w:t>Response includes stdout, stderr, exit code, timeout flag, backend, duration, limit snapshot, and error category.</w:t>
            </w:r>
          </w:p>
        </w:tc>
        <w:tc>
          <w:tcPr>
            <w:tcW w:type="dxa" w:w="3120"/>
            <w:vAlign w:val="center"/>
            <w:tcMar>
              <w:top w:w="80" w:type="dxa"/>
              <w:start w:w="120" w:type="dxa"/>
              <w:bottom w:w="80" w:type="dxa"/>
              <w:end w:w="120" w:type="dxa"/>
            </w:tcMar>
          </w:tcPr>
          <w:p>
            <w:pPr>
              <w:spacing w:after="0"/>
            </w:pPr>
            <w:r>
              <w:rPr>
                <w:sz w:val="16"/>
              </w:rPr>
              <w:t>JSON schema validation.</w:t>
            </w:r>
          </w:p>
        </w:tc>
      </w:tr>
      <w:tr>
        <w:tc>
          <w:tcPr>
            <w:tcW w:type="dxa" w:w="3120"/>
            <w:vAlign w:val="center"/>
            <w:tcMar>
              <w:top w:w="80" w:type="dxa"/>
              <w:start w:w="120" w:type="dxa"/>
              <w:bottom w:w="80" w:type="dxa"/>
              <w:end w:w="120" w:type="dxa"/>
            </w:tcMar>
          </w:tcPr>
          <w:p>
            <w:pPr>
              <w:spacing w:after="0"/>
            </w:pPr>
            <w:r>
              <w:rPr>
                <w:sz w:val="16"/>
              </w:rPr>
              <w:t>FR-7 Functional suite &gt;=100</w:t>
            </w:r>
          </w:p>
        </w:tc>
        <w:tc>
          <w:tcPr>
            <w:tcW w:type="dxa" w:w="3120"/>
            <w:vAlign w:val="center"/>
            <w:tcMar>
              <w:top w:w="80" w:type="dxa"/>
              <w:start w:w="120" w:type="dxa"/>
              <w:bottom w:w="80" w:type="dxa"/>
              <w:end w:w="120" w:type="dxa"/>
            </w:tcMar>
          </w:tcPr>
          <w:p>
            <w:pPr>
              <w:spacing w:after="0"/>
            </w:pPr>
            <w:r>
              <w:rPr>
                <w:sz w:val="16"/>
              </w:rPr>
              <w:t>HumanEval/MBPP subsets plus student-authored tests with exact expected outputs.</w:t>
            </w:r>
          </w:p>
        </w:tc>
        <w:tc>
          <w:tcPr>
            <w:tcW w:type="dxa" w:w="3120"/>
            <w:vAlign w:val="center"/>
            <w:tcMar>
              <w:top w:w="80" w:type="dxa"/>
              <w:start w:w="120" w:type="dxa"/>
              <w:bottom w:w="80" w:type="dxa"/>
              <w:end w:w="120" w:type="dxa"/>
            </w:tcMar>
          </w:tcPr>
          <w:p>
            <w:pPr>
              <w:spacing w:after="0"/>
            </w:pPr>
            <w:r>
              <w:rPr>
                <w:rFonts w:ascii="Menlo" w:hAnsi="Menlo"/>
                <w:sz w:val="16"/>
              </w:rPr>
              <w:t>make test-functional</w:t>
            </w:r>
            <w:r>
              <w:rPr>
                <w:sz w:val="16"/>
              </w:rPr>
              <w:t>; &gt;=99% pass per backend.</w:t>
            </w:r>
          </w:p>
        </w:tc>
      </w:tr>
      <w:tr>
        <w:tc>
          <w:tcPr>
            <w:tcW w:type="dxa" w:w="3120"/>
            <w:vAlign w:val="center"/>
            <w:tcMar>
              <w:top w:w="80" w:type="dxa"/>
              <w:start w:w="120" w:type="dxa"/>
              <w:bottom w:w="80" w:type="dxa"/>
              <w:end w:w="120" w:type="dxa"/>
            </w:tcMar>
          </w:tcPr>
          <w:p>
            <w:pPr>
              <w:spacing w:after="0"/>
            </w:pPr>
            <w:r>
              <w:rPr>
                <w:sz w:val="16"/>
              </w:rPr>
              <w:t>FR-8 Adversarial suite &gt;=40 / &gt;=6 categories</w:t>
            </w:r>
          </w:p>
        </w:tc>
        <w:tc>
          <w:tcPr>
            <w:tcW w:type="dxa" w:w="3120"/>
            <w:vAlign w:val="center"/>
            <w:tcMar>
              <w:top w:w="80" w:type="dxa"/>
              <w:start w:w="120" w:type="dxa"/>
              <w:bottom w:w="80" w:type="dxa"/>
              <w:end w:w="120" w:type="dxa"/>
            </w:tcMar>
          </w:tcPr>
          <w:p>
            <w:pPr>
              <w:spacing w:after="0"/>
            </w:pPr>
            <w:r>
              <w:rPr>
                <w:sz w:val="16"/>
              </w:rPr>
              <w:t>Manifest-driven adversarial tests with pre-registered expected-contained labels.</w:t>
            </w:r>
          </w:p>
        </w:tc>
        <w:tc>
          <w:tcPr>
            <w:tcW w:type="dxa" w:w="3120"/>
            <w:vAlign w:val="center"/>
            <w:tcMar>
              <w:top w:w="80" w:type="dxa"/>
              <w:start w:w="120" w:type="dxa"/>
              <w:bottom w:w="80" w:type="dxa"/>
              <w:end w:w="120" w:type="dxa"/>
            </w:tcMar>
          </w:tcPr>
          <w:p>
            <w:pPr>
              <w:spacing w:after="0"/>
            </w:pPr>
            <w:r>
              <w:rPr>
                <w:sz w:val="16"/>
              </w:rPr>
              <w:t>Category coverage audit and contained-outcome report.</w:t>
            </w:r>
          </w:p>
        </w:tc>
      </w:tr>
      <w:tr>
        <w:tc>
          <w:tcPr>
            <w:tcW w:type="dxa" w:w="3120"/>
            <w:vAlign w:val="center"/>
            <w:tcMar>
              <w:top w:w="80" w:type="dxa"/>
              <w:start w:w="120" w:type="dxa"/>
              <w:bottom w:w="80" w:type="dxa"/>
              <w:end w:w="120" w:type="dxa"/>
            </w:tcMar>
          </w:tcPr>
          <w:p>
            <w:pPr>
              <w:spacing w:after="0"/>
            </w:pPr>
            <w:r>
              <w:rPr>
                <w:sz w:val="16"/>
              </w:rPr>
              <w:t>FR-9 Benchmark harness</w:t>
            </w:r>
          </w:p>
        </w:tc>
        <w:tc>
          <w:tcPr>
            <w:tcW w:type="dxa" w:w="3120"/>
            <w:vAlign w:val="center"/>
            <w:tcMar>
              <w:top w:w="80" w:type="dxa"/>
              <w:start w:w="120" w:type="dxa"/>
              <w:bottom w:w="80" w:type="dxa"/>
              <w:end w:w="120" w:type="dxa"/>
            </w:tcMar>
          </w:tcPr>
          <w:p>
            <w:pPr>
              <w:spacing w:after="0"/>
            </w:pPr>
            <w:r>
              <w:rPr>
                <w:sz w:val="16"/>
              </w:rPr>
              <w:t>Shared benchmark runner against the API; &gt;=30 samples per backend/condition.</w:t>
            </w:r>
          </w:p>
        </w:tc>
        <w:tc>
          <w:tcPr>
            <w:tcW w:type="dxa" w:w="3120"/>
            <w:vAlign w:val="center"/>
            <w:tcMar>
              <w:top w:w="80" w:type="dxa"/>
              <w:start w:w="120" w:type="dxa"/>
              <w:bottom w:w="80" w:type="dxa"/>
              <w:end w:w="120" w:type="dxa"/>
            </w:tcMar>
          </w:tcPr>
          <w:p>
            <w:pPr>
              <w:spacing w:after="0"/>
            </w:pPr>
            <w:r>
              <w:rPr>
                <w:sz w:val="16"/>
              </w:rPr>
              <w:t>CSV/JSON results with medians and 95% confidence intervals.</w:t>
            </w:r>
          </w:p>
        </w:tc>
      </w:tr>
      <w:tr>
        <w:tc>
          <w:tcPr>
            <w:tcW w:type="dxa" w:w="3120"/>
            <w:vAlign w:val="center"/>
            <w:tcMar>
              <w:top w:w="80" w:type="dxa"/>
              <w:start w:w="120" w:type="dxa"/>
              <w:bottom w:w="80" w:type="dxa"/>
              <w:end w:w="120" w:type="dxa"/>
            </w:tcMar>
          </w:tcPr>
          <w:p>
            <w:pPr>
              <w:spacing w:after="0"/>
            </w:pPr>
            <w:r>
              <w:rPr>
                <w:sz w:val="16"/>
              </w:rPr>
              <w:t>FR-10 Reference-agent demo</w:t>
            </w:r>
          </w:p>
        </w:tc>
        <w:tc>
          <w:tcPr>
            <w:tcW w:type="dxa" w:w="3120"/>
            <w:vAlign w:val="center"/>
            <w:tcMar>
              <w:top w:w="80" w:type="dxa"/>
              <w:start w:w="120" w:type="dxa"/>
              <w:bottom w:w="80" w:type="dxa"/>
              <w:end w:w="120" w:type="dxa"/>
            </w:tcMar>
          </w:tcPr>
          <w:p>
            <w:pPr>
              <w:spacing w:after="0"/>
            </w:pPr>
            <w:r>
              <w:rPr>
                <w:sz w:val="16"/>
              </w:rPr>
              <w:t>Small script invokes API as a tool; demo is not part of core evaluation.</w:t>
            </w:r>
          </w:p>
        </w:tc>
        <w:tc>
          <w:tcPr>
            <w:tcW w:type="dxa" w:w="3120"/>
            <w:vAlign w:val="center"/>
            <w:tcMar>
              <w:top w:w="80" w:type="dxa"/>
              <w:start w:w="120" w:type="dxa"/>
              <w:bottom w:w="80" w:type="dxa"/>
              <w:end w:w="120" w:type="dxa"/>
            </w:tcMar>
          </w:tcPr>
          <w:p>
            <w:pPr>
              <w:spacing w:after="0"/>
            </w:pPr>
            <w:r>
              <w:rPr>
                <w:sz w:val="16"/>
              </w:rPr>
              <w:t>Demo transcript; core tests pass with no API key.</w:t>
            </w:r>
          </w:p>
        </w:tc>
      </w:tr>
    </w:tbl>
    <w:p/>
    <w:p>
      <w:pPr>
        <w:pStyle w:val="Heading1"/>
      </w:pPr>
      <w:r>
        <w:t>3. Architecture and Component Responsibilities</w:t>
      </w:r>
    </w:p>
    <w:p>
      <w:pPr>
        <w:jc w:val="center"/>
      </w:pPr>
      <w:r>
        <w:drawing>
          <wp:inline xmlns:a="http://schemas.openxmlformats.org/drawingml/2006/main" xmlns:pic="http://schemas.openxmlformats.org/drawingml/2006/picture">
            <wp:extent cx="5212080" cy="2953512"/>
            <wp:docPr id="1" name="Picture 1"/>
            <wp:cNvGraphicFramePr>
              <a:graphicFrameLocks noChangeAspect="1"/>
            </wp:cNvGraphicFramePr>
            <a:graphic>
              <a:graphicData uri="http://schemas.openxmlformats.org/drawingml/2006/picture">
                <pic:pic>
                  <pic:nvPicPr>
                    <pic:cNvPr id="0" name="component-architecture.png"/>
                    <pic:cNvPicPr/>
                  </pic:nvPicPr>
                  <pic:blipFill>
                    <a:blip r:embed="rId9"/>
                    <a:stretch>
                      <a:fillRect/>
                    </a:stretch>
                  </pic:blipFill>
                  <pic:spPr>
                    <a:xfrm>
                      <a:off x="0" y="0"/>
                      <a:ext cx="5212080" cy="2953512"/>
                    </a:xfrm>
                    <a:prstGeom prst="rect"/>
                  </pic:spPr>
                </pic:pic>
              </a:graphicData>
            </a:graphic>
          </wp:inline>
        </w:drawing>
      </w:r>
    </w:p>
    <w:p>
      <w:pPr>
        <w:jc w:val="center"/>
      </w:pPr>
      <w:r>
        <w:rPr>
          <w:i/>
          <w:sz w:val="18"/>
        </w:rPr>
        <w:t>SafeExec component architecture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sz w:val="16"/>
              </w:rPr>
              <w:t>Component</w:t>
            </w:r>
          </w:p>
        </w:tc>
        <w:tc>
          <w:tcPr>
            <w:tcW w:type="dxa" w:w="3120"/>
            <w:vAlign w:val="center"/>
            <w:tcMar>
              <w:top w:w="80" w:type="dxa"/>
              <w:start w:w="120" w:type="dxa"/>
              <w:bottom w:w="80" w:type="dxa"/>
              <w:end w:w="120" w:type="dxa"/>
            </w:tcMar>
            <w:shd w:fill="F2F4F7"/>
          </w:tcPr>
          <w:p>
            <w:pPr>
              <w:spacing w:after="0"/>
            </w:pPr>
            <w:r>
              <w:rPr>
                <w:b/>
                <w:sz w:val="16"/>
              </w:rPr>
              <w:t>Responsibility</w:t>
            </w:r>
          </w:p>
        </w:tc>
        <w:tc>
          <w:tcPr>
            <w:tcW w:type="dxa" w:w="3120"/>
            <w:vAlign w:val="center"/>
            <w:tcMar>
              <w:top w:w="80" w:type="dxa"/>
              <w:start w:w="120" w:type="dxa"/>
              <w:bottom w:w="80" w:type="dxa"/>
              <w:end w:w="120" w:type="dxa"/>
            </w:tcMar>
            <w:shd w:fill="F2F4F7"/>
          </w:tcPr>
          <w:p>
            <w:pPr>
              <w:spacing w:after="0"/>
            </w:pPr>
            <w:r>
              <w:rPr>
                <w:b/>
                <w:sz w:val="16"/>
              </w:rPr>
              <w:t>Implementation notes</w:t>
            </w:r>
          </w:p>
        </w:tc>
      </w:tr>
      <w:tr>
        <w:tc>
          <w:tcPr>
            <w:tcW w:type="dxa" w:w="3120"/>
            <w:vAlign w:val="center"/>
            <w:tcMar>
              <w:top w:w="80" w:type="dxa"/>
              <w:start w:w="120" w:type="dxa"/>
              <w:bottom w:w="80" w:type="dxa"/>
              <w:end w:w="120" w:type="dxa"/>
            </w:tcMar>
          </w:tcPr>
          <w:p>
            <w:pPr>
              <w:spacing w:after="0"/>
            </w:pPr>
            <w:r>
              <w:rPr>
                <w:sz w:val="16"/>
              </w:rPr>
              <w:t>API layer</w:t>
            </w:r>
          </w:p>
        </w:tc>
        <w:tc>
          <w:tcPr>
            <w:tcW w:type="dxa" w:w="3120"/>
            <w:vAlign w:val="center"/>
            <w:tcMar>
              <w:top w:w="80" w:type="dxa"/>
              <w:start w:w="120" w:type="dxa"/>
              <w:bottom w:w="80" w:type="dxa"/>
              <w:end w:w="120" w:type="dxa"/>
            </w:tcMar>
          </w:tcPr>
          <w:p>
            <w:pPr>
              <w:spacing w:after="0"/>
            </w:pPr>
            <w:r>
              <w:rPr>
                <w:sz w:val="16"/>
              </w:rPr>
              <w:t>Accept requests, validate payloads, select backend, return structured response.</w:t>
            </w:r>
          </w:p>
        </w:tc>
        <w:tc>
          <w:tcPr>
            <w:tcW w:type="dxa" w:w="3120"/>
            <w:vAlign w:val="center"/>
            <w:tcMar>
              <w:top w:w="80" w:type="dxa"/>
              <w:start w:w="120" w:type="dxa"/>
              <w:bottom w:w="80" w:type="dxa"/>
              <w:end w:w="120" w:type="dxa"/>
            </w:tcMar>
          </w:tcPr>
          <w:p>
            <w:pPr>
              <w:spacing w:after="0"/>
            </w:pPr>
            <w:r>
              <w:rPr>
                <w:sz w:val="16"/>
              </w:rPr>
              <w:t xml:space="preserve">FastAPI route </w:t>
            </w:r>
            <w:r>
              <w:rPr>
                <w:rFonts w:ascii="Menlo" w:hAnsi="Menlo"/>
                <w:sz w:val="16"/>
              </w:rPr>
              <w:t>POST /execute</w:t>
            </w:r>
            <w:r>
              <w:rPr>
                <w:sz w:val="16"/>
              </w:rPr>
              <w:t>; Pydantic request/response models.</w:t>
            </w:r>
          </w:p>
        </w:tc>
      </w:tr>
      <w:tr>
        <w:tc>
          <w:tcPr>
            <w:tcW w:type="dxa" w:w="3120"/>
            <w:vAlign w:val="center"/>
            <w:tcMar>
              <w:top w:w="80" w:type="dxa"/>
              <w:start w:w="120" w:type="dxa"/>
              <w:bottom w:w="80" w:type="dxa"/>
              <w:end w:w="120" w:type="dxa"/>
            </w:tcMar>
          </w:tcPr>
          <w:p>
            <w:pPr>
              <w:spacing w:after="0"/>
            </w:pPr>
            <w:r>
              <w:rPr>
                <w:sz w:val="16"/>
              </w:rPr>
              <w:t>Execution orchestrator</w:t>
            </w:r>
          </w:p>
        </w:tc>
        <w:tc>
          <w:tcPr>
            <w:tcW w:type="dxa" w:w="3120"/>
            <w:vAlign w:val="center"/>
            <w:tcMar>
              <w:top w:w="80" w:type="dxa"/>
              <w:start w:w="120" w:type="dxa"/>
              <w:bottom w:w="80" w:type="dxa"/>
              <w:end w:w="120" w:type="dxa"/>
            </w:tcMar>
          </w:tcPr>
          <w:p>
            <w:pPr>
              <w:spacing w:after="0"/>
            </w:pPr>
            <w:r>
              <w:rPr>
                <w:sz w:val="16"/>
              </w:rPr>
              <w:t>Creates request ID, prepares workspace, enforces wall-clock timeout, calls selected executor, collects metrics, cleans up.</w:t>
            </w:r>
          </w:p>
        </w:tc>
        <w:tc>
          <w:tcPr>
            <w:tcW w:type="dxa" w:w="3120"/>
            <w:vAlign w:val="center"/>
            <w:tcMar>
              <w:top w:w="80" w:type="dxa"/>
              <w:start w:w="120" w:type="dxa"/>
              <w:bottom w:w="80" w:type="dxa"/>
              <w:end w:w="120" w:type="dxa"/>
            </w:tcMar>
          </w:tcPr>
          <w:p>
            <w:pPr>
              <w:spacing w:after="0"/>
            </w:pPr>
            <w:r>
              <w:rPr>
                <w:sz w:val="16"/>
              </w:rPr>
              <w:t>One internal service class so test harness and API use identical behavior.</w:t>
            </w:r>
          </w:p>
        </w:tc>
      </w:tr>
      <w:tr>
        <w:tc>
          <w:tcPr>
            <w:tcW w:type="dxa" w:w="3120"/>
            <w:vAlign w:val="center"/>
            <w:tcMar>
              <w:top w:w="80" w:type="dxa"/>
              <w:start w:w="120" w:type="dxa"/>
              <w:bottom w:w="80" w:type="dxa"/>
              <w:end w:w="120" w:type="dxa"/>
            </w:tcMar>
          </w:tcPr>
          <w:p>
            <w:pPr>
              <w:spacing w:after="0"/>
            </w:pPr>
            <w:r>
              <w:rPr>
                <w:sz w:val="16"/>
              </w:rPr>
              <w:t>Executor interface</w:t>
            </w:r>
          </w:p>
        </w:tc>
        <w:tc>
          <w:tcPr>
            <w:tcW w:type="dxa" w:w="3120"/>
            <w:vAlign w:val="center"/>
            <w:tcMar>
              <w:top w:w="80" w:type="dxa"/>
              <w:start w:w="120" w:type="dxa"/>
              <w:bottom w:w="80" w:type="dxa"/>
              <w:end w:w="120" w:type="dxa"/>
            </w:tcMar>
          </w:tcPr>
          <w:p>
            <w:pPr>
              <w:spacing w:after="0"/>
            </w:pPr>
            <w:r>
              <w:rPr>
                <w:sz w:val="16"/>
              </w:rPr>
              <w:t xml:space="preserve">Stable contract for all backends: </w:t>
            </w:r>
            <w:r>
              <w:rPr>
                <w:rFonts w:ascii="Menlo" w:hAnsi="Menlo"/>
                <w:sz w:val="16"/>
              </w:rPr>
              <w:t>execute(request, workspace) -&gt; ExecutionResult</w:t>
            </w:r>
            <w:r>
              <w:rPr>
                <w:sz w:val="16"/>
              </w:rPr>
              <w:t>.</w:t>
            </w:r>
          </w:p>
        </w:tc>
        <w:tc>
          <w:tcPr>
            <w:tcW w:type="dxa" w:w="3120"/>
            <w:vAlign w:val="center"/>
            <w:tcMar>
              <w:top w:w="80" w:type="dxa"/>
              <w:start w:w="120" w:type="dxa"/>
              <w:bottom w:w="80" w:type="dxa"/>
              <w:end w:w="120" w:type="dxa"/>
            </w:tcMar>
          </w:tcPr>
          <w:p>
            <w:pPr>
              <w:spacing w:after="0"/>
            </w:pPr>
            <w:r>
              <w:rPr>
                <w:sz w:val="16"/>
              </w:rPr>
              <w:t>Enables Docker-first implementation without changing later gVisor tests.</w:t>
            </w:r>
          </w:p>
        </w:tc>
      </w:tr>
      <w:tr>
        <w:tc>
          <w:tcPr>
            <w:tcW w:type="dxa" w:w="3120"/>
            <w:vAlign w:val="center"/>
            <w:tcMar>
              <w:top w:w="80" w:type="dxa"/>
              <w:start w:w="120" w:type="dxa"/>
              <w:bottom w:w="80" w:type="dxa"/>
              <w:end w:w="120" w:type="dxa"/>
            </w:tcMar>
          </w:tcPr>
          <w:p>
            <w:pPr>
              <w:spacing w:after="0"/>
            </w:pPr>
            <w:r>
              <w:rPr>
                <w:sz w:val="16"/>
              </w:rPr>
              <w:t>Docker executor</w:t>
            </w:r>
          </w:p>
        </w:tc>
        <w:tc>
          <w:tcPr>
            <w:tcW w:type="dxa" w:w="3120"/>
            <w:vAlign w:val="center"/>
            <w:tcMar>
              <w:top w:w="80" w:type="dxa"/>
              <w:start w:w="120" w:type="dxa"/>
              <w:bottom w:w="80" w:type="dxa"/>
              <w:end w:w="120" w:type="dxa"/>
            </w:tcMar>
          </w:tcPr>
          <w:p>
            <w:pPr>
              <w:spacing w:after="0"/>
            </w:pPr>
            <w:r>
              <w:rPr>
                <w:sz w:val="16"/>
              </w:rPr>
              <w:t>Runs Python inside hardened Docker container with no network, non-root user, read-only root filesystem, tmpfs/workspace mount, dropped capabilities, cgroups and ulimits.</w:t>
            </w:r>
          </w:p>
        </w:tc>
        <w:tc>
          <w:tcPr>
            <w:tcW w:type="dxa" w:w="3120"/>
            <w:vAlign w:val="center"/>
            <w:tcMar>
              <w:top w:w="80" w:type="dxa"/>
              <w:start w:w="120" w:type="dxa"/>
              <w:bottom w:w="80" w:type="dxa"/>
              <w:end w:w="120" w:type="dxa"/>
            </w:tcMar>
          </w:tcPr>
          <w:p>
            <w:pPr>
              <w:spacing w:after="0"/>
            </w:pPr>
            <w:r>
              <w:rPr>
                <w:sz w:val="16"/>
              </w:rPr>
              <w:t>W5 baseline, W6 hardening.</w:t>
            </w:r>
          </w:p>
        </w:tc>
      </w:tr>
      <w:tr>
        <w:tc>
          <w:tcPr>
            <w:tcW w:type="dxa" w:w="3120"/>
            <w:vAlign w:val="center"/>
            <w:tcMar>
              <w:top w:w="80" w:type="dxa"/>
              <w:start w:w="120" w:type="dxa"/>
              <w:bottom w:w="80" w:type="dxa"/>
              <w:end w:w="120" w:type="dxa"/>
            </w:tcMar>
          </w:tcPr>
          <w:p>
            <w:pPr>
              <w:spacing w:after="0"/>
            </w:pPr>
            <w:r>
              <w:rPr>
                <w:sz w:val="16"/>
              </w:rPr>
              <w:t>gVisor executor</w:t>
            </w:r>
          </w:p>
        </w:tc>
        <w:tc>
          <w:tcPr>
            <w:tcW w:type="dxa" w:w="3120"/>
            <w:vAlign w:val="center"/>
            <w:tcMar>
              <w:top w:w="80" w:type="dxa"/>
              <w:start w:w="120" w:type="dxa"/>
              <w:bottom w:w="80" w:type="dxa"/>
              <w:end w:w="120" w:type="dxa"/>
            </w:tcMar>
          </w:tcPr>
          <w:p>
            <w:pPr>
              <w:spacing w:after="0"/>
            </w:pPr>
            <w:r>
              <w:rPr>
                <w:sz w:val="16"/>
              </w:rPr>
              <w:t xml:space="preserve">Runs the same image/configuration through Docker runtime </w:t>
            </w:r>
            <w:r>
              <w:rPr>
                <w:rFonts w:ascii="Menlo" w:hAnsi="Menlo"/>
                <w:sz w:val="16"/>
              </w:rPr>
              <w:t>runsc</w:t>
            </w:r>
            <w:r>
              <w:rPr>
                <w:sz w:val="16"/>
              </w:rPr>
              <w:t>, preserving API and test harness.</w:t>
            </w:r>
          </w:p>
        </w:tc>
        <w:tc>
          <w:tcPr>
            <w:tcW w:type="dxa" w:w="3120"/>
            <w:vAlign w:val="center"/>
            <w:tcMar>
              <w:top w:w="80" w:type="dxa"/>
              <w:start w:w="120" w:type="dxa"/>
              <w:bottom w:w="80" w:type="dxa"/>
              <w:end w:w="120" w:type="dxa"/>
            </w:tcMar>
          </w:tcPr>
          <w:p>
            <w:pPr>
              <w:spacing w:after="0"/>
            </w:pPr>
            <w:r>
              <w:rPr>
                <w:sz w:val="16"/>
              </w:rPr>
              <w:t>W8 target; W7 fallback if integration risk materializes.</w:t>
            </w:r>
          </w:p>
        </w:tc>
      </w:tr>
      <w:tr>
        <w:tc>
          <w:tcPr>
            <w:tcW w:type="dxa" w:w="3120"/>
            <w:vAlign w:val="center"/>
            <w:tcMar>
              <w:top w:w="80" w:type="dxa"/>
              <w:start w:w="120" w:type="dxa"/>
              <w:bottom w:w="80" w:type="dxa"/>
              <w:end w:w="120" w:type="dxa"/>
            </w:tcMar>
          </w:tcPr>
          <w:p>
            <w:pPr>
              <w:spacing w:after="0"/>
            </w:pPr>
            <w:r>
              <w:rPr>
                <w:sz w:val="16"/>
              </w:rPr>
              <w:t>Evaluation harness</w:t>
            </w:r>
          </w:p>
        </w:tc>
        <w:tc>
          <w:tcPr>
            <w:tcW w:type="dxa" w:w="3120"/>
            <w:vAlign w:val="center"/>
            <w:tcMar>
              <w:top w:w="80" w:type="dxa"/>
              <w:start w:w="120" w:type="dxa"/>
              <w:bottom w:w="80" w:type="dxa"/>
              <w:end w:w="120" w:type="dxa"/>
            </w:tcMar>
          </w:tcPr>
          <w:p>
            <w:pPr>
              <w:spacing w:after="0"/>
            </w:pPr>
            <w:r>
              <w:rPr>
                <w:sz w:val="16"/>
              </w:rPr>
              <w:t>Loads functional/adversarial manifests, maps tests to API requests, stores JSONL/CSV outputs, and records host metadata.</w:t>
            </w:r>
          </w:p>
        </w:tc>
        <w:tc>
          <w:tcPr>
            <w:tcW w:type="dxa" w:w="3120"/>
            <w:vAlign w:val="center"/>
            <w:tcMar>
              <w:top w:w="80" w:type="dxa"/>
              <w:start w:w="120" w:type="dxa"/>
              <w:bottom w:w="80" w:type="dxa"/>
              <w:end w:w="120" w:type="dxa"/>
            </w:tcMar>
          </w:tcPr>
          <w:p>
            <w:pPr>
              <w:spacing w:after="0"/>
            </w:pPr>
            <w:r>
              <w:rPr>
                <w:sz w:val="16"/>
              </w:rPr>
              <w:t>Supports HumanEval/MBPP subset IDs, student-authored programs, and reproducible benchmark tables.</w:t>
            </w:r>
          </w:p>
        </w:tc>
      </w:tr>
      <w:tr>
        <w:tc>
          <w:tcPr>
            <w:tcW w:type="dxa" w:w="3120"/>
            <w:vAlign w:val="center"/>
            <w:tcMar>
              <w:top w:w="80" w:type="dxa"/>
              <w:start w:w="120" w:type="dxa"/>
              <w:bottom w:w="80" w:type="dxa"/>
              <w:end w:w="120" w:type="dxa"/>
            </w:tcMar>
          </w:tcPr>
          <w:p>
            <w:pPr>
              <w:spacing w:after="0"/>
            </w:pPr>
            <w:r>
              <w:rPr>
                <w:sz w:val="16"/>
              </w:rPr>
              <w:t>Reference-agent demo</w:t>
            </w:r>
          </w:p>
        </w:tc>
        <w:tc>
          <w:tcPr>
            <w:tcW w:type="dxa" w:w="3120"/>
            <w:vAlign w:val="center"/>
            <w:tcMar>
              <w:top w:w="80" w:type="dxa"/>
              <w:start w:w="120" w:type="dxa"/>
              <w:bottom w:w="80" w:type="dxa"/>
              <w:end w:w="120" w:type="dxa"/>
            </w:tcMar>
          </w:tcPr>
          <w:p>
            <w:pPr>
              <w:spacing w:after="0"/>
            </w:pPr>
            <w:r>
              <w:rPr>
                <w:sz w:val="16"/>
              </w:rPr>
              <w:t>Optional integration evidence showing an LLM-agent-style tool call.</w:t>
            </w:r>
          </w:p>
        </w:tc>
        <w:tc>
          <w:tcPr>
            <w:tcW w:type="dxa" w:w="3120"/>
            <w:vAlign w:val="center"/>
            <w:tcMar>
              <w:top w:w="80" w:type="dxa"/>
              <w:start w:w="120" w:type="dxa"/>
              <w:bottom w:w="80" w:type="dxa"/>
              <w:end w:w="120" w:type="dxa"/>
            </w:tcMar>
          </w:tcPr>
          <w:p>
            <w:pPr>
              <w:spacing w:after="0"/>
            </w:pPr>
            <w:r>
              <w:rPr>
                <w:sz w:val="16"/>
              </w:rPr>
              <w:t>Demo-only; no grading claim depends on live API provider availability.</w:t>
            </w:r>
          </w:p>
        </w:tc>
      </w:tr>
    </w:tbl>
    <w:p/>
    <w:p>
      <w:pPr>
        <w:pStyle w:val="Heading2"/>
      </w:pPr>
      <w:r>
        <w:t>Build Order</w:t>
      </w:r>
    </w:p>
    <w:p>
      <w:pPr>
        <w:ind w:left="461" w:hanging="346"/>
      </w:pPr>
      <w:r>
        <w:t xml:space="preserve">1.  </w:t>
      </w:r>
      <w:r>
        <w:t xml:space="preserve">W5: API skeleton, request/response models, </w:t>
      </w:r>
      <w:r>
        <w:rPr>
          <w:rFonts w:ascii="Menlo" w:hAnsi="Menlo"/>
          <w:sz w:val="18"/>
        </w:rPr>
        <w:t>DockerExecutor</w:t>
      </w:r>
      <w:r>
        <w:t xml:space="preserve"> baseline, first hello-world request.</w:t>
      </w:r>
    </w:p>
    <w:p>
      <w:pPr>
        <w:ind w:left="461" w:hanging="346"/>
      </w:pPr>
      <w:r>
        <w:t xml:space="preserve">2.  </w:t>
      </w:r>
      <w:r>
        <w:t>W5-W6: functional-corpus loader and exact-output runner.</w:t>
      </w:r>
    </w:p>
    <w:p>
      <w:pPr>
        <w:ind w:left="461" w:hanging="346"/>
      </w:pPr>
      <w:r>
        <w:t xml:space="preserve">3.  </w:t>
      </w:r>
      <w:r>
        <w:t>W6: Docker hardening bundle: no network, non-root, read-only root, dropped caps, no-new-privileges, cgroup/ulimit controls.</w:t>
      </w:r>
    </w:p>
    <w:p>
      <w:pPr>
        <w:ind w:left="461" w:hanging="346"/>
      </w:pPr>
      <w:r>
        <w:t xml:space="preserve">4.  </w:t>
      </w:r>
      <w:r>
        <w:t>W6-W7: adversarial manifest and first 20 tests across at least 3 categories.</w:t>
      </w:r>
    </w:p>
    <w:p>
      <w:pPr>
        <w:ind w:left="461" w:hanging="346"/>
      </w:pPr>
      <w:r>
        <w:t xml:space="preserve">5.  </w:t>
      </w:r>
      <w:r>
        <w:t>W7: midpoint demo and explicit fallback decision; taxonomy locked at category level.</w:t>
      </w:r>
    </w:p>
    <w:p>
      <w:pPr>
        <w:ind w:left="461" w:hanging="346"/>
      </w:pPr>
      <w:r>
        <w:t xml:space="preserve">6.  </w:t>
      </w:r>
      <w:r>
        <w:t xml:space="preserve">W8: </w:t>
      </w:r>
      <w:r>
        <w:rPr>
          <w:rFonts w:ascii="Menlo" w:hAnsi="Menlo"/>
          <w:sz w:val="18"/>
        </w:rPr>
        <w:t>GVisorExecutor</w:t>
      </w:r>
      <w:r>
        <w:t xml:space="preserve"> through </w:t>
      </w:r>
      <w:r>
        <w:rPr>
          <w:rFonts w:ascii="Menlo" w:hAnsi="Menlo"/>
          <w:sz w:val="18"/>
        </w:rPr>
        <w:t>runsc</w:t>
      </w:r>
      <w:r>
        <w:t>; run full functional/adversarial/benchmark harness against both backends.</w:t>
      </w:r>
    </w:p>
    <w:p>
      <w:pPr>
        <w:pStyle w:val="Heading1"/>
      </w:pPr>
      <w:r>
        <w:t>4. Execution Flow and Data Flow</w:t>
      </w:r>
    </w:p>
    <w:p>
      <w:r>
        <w:t>The execution path is deliberately short so failure modes are observable.</w:t>
      </w:r>
    </w:p>
    <w:p>
      <w:pPr>
        <w:ind w:left="461" w:hanging="346"/>
      </w:pPr>
      <w:r>
        <w:t xml:space="preserve">1.  </w:t>
      </w:r>
      <w:r>
        <w:t xml:space="preserve">Client submits </w:t>
      </w:r>
      <w:r>
        <w:rPr>
          <w:rFonts w:ascii="Menlo" w:hAnsi="Menlo"/>
          <w:sz w:val="18"/>
        </w:rPr>
        <w:t>POST /execute</w:t>
      </w:r>
      <w:r>
        <w:t xml:space="preserve"> with Python source, backend choice, and optional limit overrides within configured caps.</w:t>
      </w:r>
    </w:p>
    <w:p>
      <w:pPr>
        <w:ind w:left="461" w:hanging="346"/>
      </w:pPr>
      <w:r>
        <w:t xml:space="preserve">2.  </w:t>
      </w:r>
      <w:r>
        <w:t>API validates request size, backend name, timeout cap, and language (</w:t>
      </w:r>
      <w:r>
        <w:rPr>
          <w:rFonts w:ascii="Menlo" w:hAnsi="Menlo"/>
          <w:sz w:val="18"/>
        </w:rPr>
        <w:t>python3.11</w:t>
      </w:r>
      <w:r>
        <w:t xml:space="preserve"> only).</w:t>
      </w:r>
    </w:p>
    <w:p>
      <w:pPr>
        <w:ind w:left="461" w:hanging="346"/>
      </w:pPr>
      <w:r>
        <w:t xml:space="preserve">3.  </w:t>
      </w:r>
      <w:r>
        <w:t>Orchestrator creates a request ID and ephemeral workspace under the host temp root.</w:t>
      </w:r>
    </w:p>
    <w:p>
      <w:pPr>
        <w:ind w:left="461" w:hanging="346"/>
      </w:pPr>
      <w:r>
        <w:t xml:space="preserve">4.  </w:t>
      </w:r>
      <w:r>
        <w:t>Selected executor writes source to the workspace and starts a short-lived container with configured isolation controls.</w:t>
      </w:r>
    </w:p>
    <w:p>
      <w:pPr>
        <w:ind w:left="461" w:hanging="346"/>
      </w:pPr>
      <w:r>
        <w:t xml:space="preserve">5.  </w:t>
      </w:r>
      <w:r>
        <w:t>Supervisor timer enforces wall-clock limit; Docker/gVisor/cgroup controls enforce process and memory boundaries.</w:t>
      </w:r>
    </w:p>
    <w:p>
      <w:pPr>
        <w:ind w:left="461" w:hanging="346"/>
      </w:pPr>
      <w:r>
        <w:t xml:space="preserve">6.  </w:t>
      </w:r>
      <w:r>
        <w:t>Executor captures stdout, stderr, exit code, timeout status, duration, and resource-limit snapshot.</w:t>
      </w:r>
    </w:p>
    <w:p>
      <w:pPr>
        <w:ind w:left="461" w:hanging="346"/>
      </w:pPr>
      <w:r>
        <w:t xml:space="preserve">7.  </w:t>
      </w:r>
      <w:r>
        <w:t>Orchestrator deletes the workspace and returns a structured response.</w:t>
      </w:r>
    </w:p>
    <w:p>
      <w:pPr>
        <w:ind w:left="461" w:hanging="346"/>
      </w:pPr>
      <w:r>
        <w:t xml:space="preserve">8.  </w:t>
      </w:r>
      <w:r>
        <w:t>Test/benchmark runners persist only summary metadata and outputs needed for reproducibility; no user data is processed.</w:t>
      </w:r>
    </w:p>
    <w:p>
      <w:pPr>
        <w:pStyle w:val="Heading1"/>
      </w:pPr>
      <w:r>
        <w:t>5. API Contract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b/>
                <w:sz w:val="16"/>
              </w:rPr>
              <w:t>Item</w:t>
            </w:r>
          </w:p>
        </w:tc>
        <w:tc>
          <w:tcPr>
            <w:tcW w:type="dxa" w:w="4680"/>
            <w:vAlign w:val="center"/>
            <w:tcMar>
              <w:top w:w="80" w:type="dxa"/>
              <w:start w:w="120" w:type="dxa"/>
              <w:bottom w:w="80" w:type="dxa"/>
              <w:end w:w="120" w:type="dxa"/>
            </w:tcMar>
            <w:shd w:fill="F2F4F7"/>
          </w:tcPr>
          <w:p>
            <w:pPr>
              <w:spacing w:after="0"/>
            </w:pPr>
            <w:r>
              <w:rPr>
                <w:b/>
                <w:sz w:val="16"/>
              </w:rPr>
              <w:t>Design</w:t>
            </w:r>
          </w:p>
        </w:tc>
      </w:tr>
      <w:tr>
        <w:tc>
          <w:tcPr>
            <w:tcW w:type="dxa" w:w="4680"/>
            <w:vAlign w:val="center"/>
            <w:tcMar>
              <w:top w:w="80" w:type="dxa"/>
              <w:start w:w="120" w:type="dxa"/>
              <w:bottom w:w="80" w:type="dxa"/>
              <w:end w:w="120" w:type="dxa"/>
            </w:tcMar>
          </w:tcPr>
          <w:p>
            <w:pPr>
              <w:spacing w:after="0"/>
            </w:pPr>
            <w:r>
              <w:rPr>
                <w:sz w:val="16"/>
              </w:rPr>
              <w:t>Endpoint</w:t>
            </w:r>
          </w:p>
        </w:tc>
        <w:tc>
          <w:tcPr>
            <w:tcW w:type="dxa" w:w="4680"/>
            <w:vAlign w:val="center"/>
            <w:tcMar>
              <w:top w:w="80" w:type="dxa"/>
              <w:start w:w="120" w:type="dxa"/>
              <w:bottom w:w="80" w:type="dxa"/>
              <w:end w:w="120" w:type="dxa"/>
            </w:tcMar>
          </w:tcPr>
          <w:p>
            <w:pPr>
              <w:spacing w:after="0"/>
            </w:pPr>
            <w:r>
              <w:rPr>
                <w:rFonts w:ascii="Menlo" w:hAnsi="Menlo"/>
                <w:sz w:val="16"/>
              </w:rPr>
              <w:t>POST /execute</w:t>
            </w:r>
          </w:p>
        </w:tc>
      </w:tr>
      <w:tr>
        <w:tc>
          <w:tcPr>
            <w:tcW w:type="dxa" w:w="4680"/>
            <w:vAlign w:val="center"/>
            <w:tcMar>
              <w:top w:w="80" w:type="dxa"/>
              <w:start w:w="120" w:type="dxa"/>
              <w:bottom w:w="80" w:type="dxa"/>
              <w:end w:w="120" w:type="dxa"/>
            </w:tcMar>
          </w:tcPr>
          <w:p>
            <w:pPr>
              <w:spacing w:after="0"/>
            </w:pPr>
            <w:r>
              <w:rPr>
                <w:sz w:val="16"/>
              </w:rPr>
              <w:t>Content type</w:t>
            </w:r>
          </w:p>
        </w:tc>
        <w:tc>
          <w:tcPr>
            <w:tcW w:type="dxa" w:w="4680"/>
            <w:vAlign w:val="center"/>
            <w:tcMar>
              <w:top w:w="80" w:type="dxa"/>
              <w:start w:w="120" w:type="dxa"/>
              <w:bottom w:w="80" w:type="dxa"/>
              <w:end w:w="120" w:type="dxa"/>
            </w:tcMar>
          </w:tcPr>
          <w:p>
            <w:pPr>
              <w:spacing w:after="0"/>
            </w:pPr>
            <w:r>
              <w:rPr>
                <w:rFonts w:ascii="Menlo" w:hAnsi="Menlo"/>
                <w:sz w:val="16"/>
              </w:rPr>
              <w:t>application/json</w:t>
            </w:r>
          </w:p>
        </w:tc>
      </w:tr>
      <w:tr>
        <w:tc>
          <w:tcPr>
            <w:tcW w:type="dxa" w:w="4680"/>
            <w:vAlign w:val="center"/>
            <w:tcMar>
              <w:top w:w="80" w:type="dxa"/>
              <w:start w:w="120" w:type="dxa"/>
              <w:bottom w:w="80" w:type="dxa"/>
              <w:end w:w="120" w:type="dxa"/>
            </w:tcMar>
          </w:tcPr>
          <w:p>
            <w:pPr>
              <w:spacing w:after="0"/>
            </w:pPr>
            <w:r>
              <w:rPr>
                <w:sz w:val="16"/>
              </w:rPr>
              <w:t>Language support</w:t>
            </w:r>
          </w:p>
        </w:tc>
        <w:tc>
          <w:tcPr>
            <w:tcW w:type="dxa" w:w="4680"/>
            <w:vAlign w:val="center"/>
            <w:tcMar>
              <w:top w:w="80" w:type="dxa"/>
              <w:start w:w="120" w:type="dxa"/>
              <w:bottom w:w="80" w:type="dxa"/>
              <w:end w:w="120" w:type="dxa"/>
            </w:tcMar>
          </w:tcPr>
          <w:p>
            <w:pPr>
              <w:spacing w:after="0"/>
            </w:pPr>
            <w:r>
              <w:rPr>
                <w:rFonts w:ascii="Menlo" w:hAnsi="Menlo"/>
                <w:sz w:val="16"/>
              </w:rPr>
              <w:t>python3.11</w:t>
            </w:r>
            <w:r>
              <w:rPr>
                <w:sz w:val="16"/>
              </w:rPr>
              <w:t xml:space="preserve"> only</w:t>
            </w:r>
          </w:p>
        </w:tc>
      </w:tr>
      <w:tr>
        <w:tc>
          <w:tcPr>
            <w:tcW w:type="dxa" w:w="4680"/>
            <w:vAlign w:val="center"/>
            <w:tcMar>
              <w:top w:w="80" w:type="dxa"/>
              <w:start w:w="120" w:type="dxa"/>
              <w:bottom w:w="80" w:type="dxa"/>
              <w:end w:w="120" w:type="dxa"/>
            </w:tcMar>
          </w:tcPr>
          <w:p>
            <w:pPr>
              <w:spacing w:after="0"/>
            </w:pPr>
            <w:r>
              <w:rPr>
                <w:sz w:val="16"/>
              </w:rPr>
              <w:t>Backends</w:t>
            </w:r>
          </w:p>
        </w:tc>
        <w:tc>
          <w:tcPr>
            <w:tcW w:type="dxa" w:w="4680"/>
            <w:vAlign w:val="center"/>
            <w:tcMar>
              <w:top w:w="80" w:type="dxa"/>
              <w:start w:w="120" w:type="dxa"/>
              <w:bottom w:w="80" w:type="dxa"/>
              <w:end w:w="120" w:type="dxa"/>
            </w:tcMar>
          </w:tcPr>
          <w:p>
            <w:pPr>
              <w:spacing w:after="0"/>
            </w:pPr>
            <w:r>
              <w:rPr>
                <w:rFonts w:ascii="Menlo" w:hAnsi="Menlo"/>
                <w:sz w:val="16"/>
              </w:rPr>
              <w:t>docker_hardened</w:t>
            </w:r>
            <w:r>
              <w:rPr>
                <w:sz w:val="16"/>
              </w:rPr>
              <w:t xml:space="preserve">, </w:t>
            </w:r>
            <w:r>
              <w:rPr>
                <w:rFonts w:ascii="Menlo" w:hAnsi="Menlo"/>
                <w:sz w:val="16"/>
              </w:rPr>
              <w:t>gvisor</w:t>
            </w:r>
          </w:p>
        </w:tc>
      </w:tr>
      <w:tr>
        <w:tc>
          <w:tcPr>
            <w:tcW w:type="dxa" w:w="4680"/>
            <w:vAlign w:val="center"/>
            <w:tcMar>
              <w:top w:w="80" w:type="dxa"/>
              <w:start w:w="120" w:type="dxa"/>
              <w:bottom w:w="80" w:type="dxa"/>
              <w:end w:w="120" w:type="dxa"/>
            </w:tcMar>
          </w:tcPr>
          <w:p>
            <w:pPr>
              <w:spacing w:after="0"/>
            </w:pPr>
            <w:r>
              <w:rPr>
                <w:sz w:val="16"/>
              </w:rPr>
              <w:t>Max source size</w:t>
            </w:r>
          </w:p>
        </w:tc>
        <w:tc>
          <w:tcPr>
            <w:tcW w:type="dxa" w:w="4680"/>
            <w:vAlign w:val="center"/>
            <w:tcMar>
              <w:top w:w="80" w:type="dxa"/>
              <w:start w:w="120" w:type="dxa"/>
              <w:bottom w:w="80" w:type="dxa"/>
              <w:end w:w="120" w:type="dxa"/>
            </w:tcMar>
          </w:tcPr>
          <w:p>
            <w:pPr>
              <w:spacing w:after="0"/>
            </w:pPr>
            <w:r>
              <w:rPr>
                <w:sz w:val="16"/>
              </w:rPr>
              <w:t>Initial cap 64 KiB; can be lowered if resource tests show abuse risk.</w:t>
            </w:r>
          </w:p>
        </w:tc>
      </w:tr>
      <w:tr>
        <w:tc>
          <w:tcPr>
            <w:tcW w:type="dxa" w:w="4680"/>
            <w:vAlign w:val="center"/>
            <w:tcMar>
              <w:top w:w="80" w:type="dxa"/>
              <w:start w:w="120" w:type="dxa"/>
              <w:bottom w:w="80" w:type="dxa"/>
              <w:end w:w="120" w:type="dxa"/>
            </w:tcMar>
          </w:tcPr>
          <w:p>
            <w:pPr>
              <w:spacing w:after="0"/>
            </w:pPr>
            <w:r>
              <w:rPr>
                <w:sz w:val="16"/>
              </w:rPr>
              <w:t>Default limits</w:t>
            </w:r>
          </w:p>
        </w:tc>
        <w:tc>
          <w:tcPr>
            <w:tcW w:type="dxa" w:w="4680"/>
            <w:vAlign w:val="center"/>
            <w:tcMar>
              <w:top w:w="80" w:type="dxa"/>
              <w:start w:w="120" w:type="dxa"/>
              <w:bottom w:w="80" w:type="dxa"/>
              <w:end w:w="120" w:type="dxa"/>
            </w:tcMar>
          </w:tcPr>
          <w:p>
            <w:pPr>
              <w:spacing w:after="0"/>
            </w:pPr>
            <w:r>
              <w:rPr>
                <w:sz w:val="16"/>
              </w:rPr>
              <w:t>Wall-clock 2s, memory 256 MiB, CPU 1 vCPU equivalent, PIDs 64, file descriptors 64.</w:t>
            </w:r>
          </w:p>
        </w:tc>
      </w:tr>
      <w:tr>
        <w:tc>
          <w:tcPr>
            <w:tcW w:type="dxa" w:w="4680"/>
            <w:vAlign w:val="center"/>
            <w:tcMar>
              <w:top w:w="80" w:type="dxa"/>
              <w:start w:w="120" w:type="dxa"/>
              <w:bottom w:w="80" w:type="dxa"/>
              <w:end w:w="120" w:type="dxa"/>
            </w:tcMar>
          </w:tcPr>
          <w:p>
            <w:pPr>
              <w:spacing w:after="0"/>
            </w:pPr>
            <w:r>
              <w:rPr>
                <w:sz w:val="16"/>
              </w:rPr>
              <w:t>Response status</w:t>
            </w:r>
          </w:p>
        </w:tc>
        <w:tc>
          <w:tcPr>
            <w:tcW w:type="dxa" w:w="4680"/>
            <w:vAlign w:val="center"/>
            <w:tcMar>
              <w:top w:w="80" w:type="dxa"/>
              <w:start w:w="120" w:type="dxa"/>
              <w:bottom w:w="80" w:type="dxa"/>
              <w:end w:w="120" w:type="dxa"/>
            </w:tcMar>
          </w:tcPr>
          <w:p>
            <w:pPr>
              <w:spacing w:after="0"/>
            </w:pPr>
            <w:r>
              <w:rPr>
                <w:sz w:val="16"/>
              </w:rPr>
              <w:t>HTTP 200 for contained execution, HTTP 4xx for validation errors, HTTP 5xx for service failure.</w:t>
            </w:r>
          </w:p>
        </w:tc>
      </w:tr>
    </w:tbl>
    <w:p/>
    <w:p>
      <w:pPr>
        <w:pStyle w:val="Heading2"/>
      </w:pPr>
      <w:r>
        <w:t>Sample Request</w:t>
      </w:r>
    </w:p>
    <w:p>
      <w:r>
        <w:rPr>
          <w:rFonts w:ascii="Menlo" w:hAnsi="Menlo"/>
          <w:sz w:val="17"/>
        </w:rPr>
        <w:t>{</w:t>
        <w:br/>
        <w:t xml:space="preserve">  "code": "print(sum(range(10)))",</w:t>
        <w:br/>
        <w:t xml:space="preserve">  "language": "python3.11",</w:t>
        <w:br/>
        <w:t xml:space="preserve">  "backend": "docker_hardened",</w:t>
        <w:br/>
        <w:t xml:space="preserve">  "limits": {</w:t>
        <w:br/>
        <w:t xml:space="preserve">    "wall_time_ms": 2000,</w:t>
        <w:br/>
        <w:t xml:space="preserve">    "memory_mb": 256</w:t>
        <w:br/>
        <w:t xml:space="preserve">  }</w:t>
        <w:br/>
        <w:t>}</w:t>
      </w:r>
    </w:p>
    <w:p>
      <w:pPr>
        <w:pStyle w:val="Heading2"/>
      </w:pPr>
      <w:r>
        <w:t>Sample Response</w:t>
      </w:r>
    </w:p>
    <w:p>
      <w:r>
        <w:rPr>
          <w:rFonts w:ascii="Menlo" w:hAnsi="Menlo"/>
          <w:sz w:val="17"/>
        </w:rPr>
        <w:t>{</w:t>
        <w:br/>
        <w:t xml:space="preserve">  "request_id": "req_20260606_000001",</w:t>
        <w:br/>
        <w:t xml:space="preserve">  "backend": "docker_hardened",</w:t>
        <w:br/>
        <w:t xml:space="preserve">  "status": "completed",</w:t>
        <w:br/>
        <w:t xml:space="preserve">  "exit_code": 0,</w:t>
        <w:br/>
        <w:t xml:space="preserve">  "stdout": "45\n",</w:t>
        <w:br/>
        <w:t xml:space="preserve">  "stderr": "",</w:t>
        <w:br/>
        <w:t xml:space="preserve">  "duration_ms": 184,</w:t>
        <w:br/>
        <w:t xml:space="preserve">  "timed_out": false,</w:t>
        <w:br/>
        <w:t xml:space="preserve">  "error_category": null,</w:t>
        <w:br/>
        <w:t xml:space="preserve">  "limits_applied": {</w:t>
        <w:br/>
        <w:t xml:space="preserve">    "wall_time_ms": 2000,</w:t>
        <w:br/>
        <w:t xml:space="preserve">    "memory_mb": 256,</w:t>
        <w:br/>
        <w:t xml:space="preserve">    "pids": 64,</w:t>
        <w:br/>
        <w:t xml:space="preserve">    "nofile": 64,</w:t>
        <w:br/>
        <w:t xml:space="preserve">    "network": "disabled"</w:t>
        <w:br/>
        <w:t xml:space="preserve">  }</w:t>
        <w:br/>
        <w:t>}</w:t>
      </w:r>
    </w:p>
    <w:p>
      <w:pPr>
        <w:pStyle w:val="Heading1"/>
      </w:pPr>
      <w:r>
        <w:t>6. Computational Method and Isolation Design</w:t>
      </w:r>
    </w:p>
    <w:p>
      <w:pPr>
        <w:pStyle w:val="Heading2"/>
      </w:pPr>
      <w:r>
        <w:t>Hardened Docker Backend</w:t>
      </w:r>
    </w:p>
    <w:p>
      <w:r>
        <w:t xml:space="preserve">The Docker backend is both the baseline and the first implementation target. It will use a minimal Python image, non-root execution, no network namespace, read-only root filesystem, an ephemeral writable workspace, dropped Linux capabilities, </w:t>
      </w:r>
      <w:r>
        <w:rPr>
          <w:rFonts w:ascii="Menlo" w:hAnsi="Menlo"/>
          <w:sz w:val="18"/>
        </w:rPr>
        <w:t>no-new-privileges</w:t>
      </w:r>
      <w:r>
        <w:t>, PID and file descriptor caps, cgroup memory/CPU limits, and a seccomp profile. AppArmor will be enabled if the target host supports it without delaying W5-W6 build milestones.</w:t>
      </w:r>
    </w:p>
    <w:p>
      <w:r>
        <w:t>The backend is considered "hardened" only when its configuration is visible in source (</w:t>
      </w:r>
      <w:r>
        <w:rPr>
          <w:rFonts w:ascii="Menlo" w:hAnsi="Menlo"/>
          <w:sz w:val="18"/>
        </w:rPr>
        <w:t>deploy/</w:t>
      </w:r>
      <w:r>
        <w:t xml:space="preserve">, </w:t>
      </w:r>
      <w:r>
        <w:rPr>
          <w:rFonts w:ascii="Menlo" w:hAnsi="Menlo"/>
          <w:sz w:val="18"/>
        </w:rPr>
        <w:t>src/backends/docker_hardened/</w:t>
      </w:r>
      <w:r>
        <w:t>) and is exercised by negative tests. "Default Docker" is not an acceptable implementation state beyond the first W5 smoke test.</w:t>
      </w:r>
    </w:p>
    <w:p>
      <w:pPr>
        <w:pStyle w:val="Heading2"/>
      </w:pPr>
      <w:r>
        <w:t>gVisor Backend</w:t>
      </w:r>
    </w:p>
    <w:p>
      <w:r>
        <w:t xml:space="preserve">The gVisor backend reuses the same request schema, image, source-writing flow, limits, and test harness, but changes the container runtime to </w:t>
      </w:r>
      <w:r>
        <w:rPr>
          <w:rFonts w:ascii="Menlo" w:hAnsi="Menlo"/>
          <w:sz w:val="18"/>
        </w:rPr>
        <w:t>runsc</w:t>
      </w:r>
      <w:r>
        <w:t>. The purpose is to evaluate whether reducing direct host-kernel exposure improves adversarial containment enough to justify overhead. Compatibility differences are recorded as findings, not silently papered over.</w:t>
      </w:r>
    </w:p>
    <w:p>
      <w:pPr>
        <w:pStyle w:val="Heading2"/>
      </w:pPr>
      <w:r>
        <w:t>Contained Outcome Semantics</w:t>
      </w:r>
    </w:p>
    <w:p>
      <w:r>
        <w:t>An adversarial test is "contained" when it terminates, times out, or fails with an expected sandbox error without affecting the host, the service process, another request, the network, or persistent state. It is "not contained" if it writes outside the workspace, performs network egress, escapes configured limits, affects a later request, or exposes host-only state beyond the allowed sandbox view.</w:t>
      </w:r>
    </w:p>
    <w:p>
      <w:pPr>
        <w:pStyle w:val="Heading1"/>
      </w:pPr>
      <w:r>
        <w:t>7. Environment, Toolchain, and Dependency Plan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sz w:val="16"/>
              </w:rPr>
              <w:t>Layer</w:t>
            </w:r>
          </w:p>
        </w:tc>
        <w:tc>
          <w:tcPr>
            <w:tcW w:type="dxa" w:w="3120"/>
            <w:vAlign w:val="center"/>
            <w:tcMar>
              <w:top w:w="80" w:type="dxa"/>
              <w:start w:w="120" w:type="dxa"/>
              <w:bottom w:w="80" w:type="dxa"/>
              <w:end w:w="120" w:type="dxa"/>
            </w:tcMar>
            <w:shd w:fill="F2F4F7"/>
          </w:tcPr>
          <w:p>
            <w:pPr>
              <w:spacing w:after="0"/>
            </w:pPr>
            <w:r>
              <w:rPr>
                <w:b/>
                <w:sz w:val="16"/>
              </w:rPr>
              <w:t>Planned choice</w:t>
            </w:r>
          </w:p>
        </w:tc>
        <w:tc>
          <w:tcPr>
            <w:tcW w:type="dxa" w:w="3120"/>
            <w:vAlign w:val="center"/>
            <w:tcMar>
              <w:top w:w="80" w:type="dxa"/>
              <w:start w:w="120" w:type="dxa"/>
              <w:bottom w:w="80" w:type="dxa"/>
              <w:end w:w="120" w:type="dxa"/>
            </w:tcMar>
            <w:shd w:fill="F2F4F7"/>
          </w:tcPr>
          <w:p>
            <w:pPr>
              <w:spacing w:after="0"/>
            </w:pPr>
            <w:r>
              <w:rPr>
                <w:b/>
                <w:sz w:val="16"/>
              </w:rPr>
              <w:t>Evidence / file</w:t>
            </w:r>
          </w:p>
        </w:tc>
      </w:tr>
      <w:tr>
        <w:tc>
          <w:tcPr>
            <w:tcW w:type="dxa" w:w="3120"/>
            <w:vAlign w:val="center"/>
            <w:tcMar>
              <w:top w:w="80" w:type="dxa"/>
              <w:start w:w="120" w:type="dxa"/>
              <w:bottom w:w="80" w:type="dxa"/>
              <w:end w:w="120" w:type="dxa"/>
            </w:tcMar>
          </w:tcPr>
          <w:p>
            <w:pPr>
              <w:spacing w:after="0"/>
            </w:pPr>
            <w:r>
              <w:rPr>
                <w:sz w:val="16"/>
              </w:rPr>
              <w:t>Authoring host</w:t>
            </w:r>
          </w:p>
        </w:tc>
        <w:tc>
          <w:tcPr>
            <w:tcW w:type="dxa" w:w="3120"/>
            <w:vAlign w:val="center"/>
            <w:tcMar>
              <w:top w:w="80" w:type="dxa"/>
              <w:start w:w="120" w:type="dxa"/>
              <w:bottom w:w="80" w:type="dxa"/>
              <w:end w:w="120" w:type="dxa"/>
            </w:tcMar>
          </w:tcPr>
          <w:p>
            <w:pPr>
              <w:spacing w:after="0"/>
            </w:pPr>
            <w:r>
              <w:rPr>
                <w:sz w:val="16"/>
              </w:rPr>
              <w:t>macOS laptop with PyCharm; GitHub remote for version control.</w:t>
            </w:r>
          </w:p>
        </w:tc>
        <w:tc>
          <w:tcPr>
            <w:tcW w:type="dxa" w:w="3120"/>
            <w:vAlign w:val="center"/>
            <w:tcMar>
              <w:top w:w="80" w:type="dxa"/>
              <w:start w:w="120" w:type="dxa"/>
              <w:bottom w:w="80" w:type="dxa"/>
              <w:end w:w="120" w:type="dxa"/>
            </w:tcMar>
          </w:tcPr>
          <w:p>
            <w:pPr>
              <w:spacing w:after="0"/>
            </w:pPr>
            <w:r>
              <w:rPr>
                <w:sz w:val="16"/>
              </w:rPr>
              <w:t>README and engineering log.</w:t>
            </w:r>
          </w:p>
        </w:tc>
      </w:tr>
      <w:tr>
        <w:tc>
          <w:tcPr>
            <w:tcW w:type="dxa" w:w="3120"/>
            <w:vAlign w:val="center"/>
            <w:tcMar>
              <w:top w:w="80" w:type="dxa"/>
              <w:start w:w="120" w:type="dxa"/>
              <w:bottom w:w="80" w:type="dxa"/>
              <w:end w:w="120" w:type="dxa"/>
            </w:tcMar>
          </w:tcPr>
          <w:p>
            <w:pPr>
              <w:spacing w:after="0"/>
            </w:pPr>
            <w:r>
              <w:rPr>
                <w:sz w:val="16"/>
              </w:rPr>
              <w:t>Runtime host</w:t>
            </w:r>
          </w:p>
        </w:tc>
        <w:tc>
          <w:tcPr>
            <w:tcW w:type="dxa" w:w="3120"/>
            <w:vAlign w:val="center"/>
            <w:tcMar>
              <w:top w:w="80" w:type="dxa"/>
              <w:start w:w="120" w:type="dxa"/>
              <w:bottom w:w="80" w:type="dxa"/>
              <w:end w:w="120" w:type="dxa"/>
            </w:tcMar>
          </w:tcPr>
          <w:p>
            <w:pPr>
              <w:spacing w:after="0"/>
            </w:pPr>
            <w:r>
              <w:rPr>
                <w:sz w:val="16"/>
              </w:rPr>
              <w:t>DigitalOcean Premium Intel droplet, NYC3, 2 vCPU / 4 GB / 120 GB NVMe, Ubuntu 22.04.5 LTS, kernel 5.15.0-179-generic.</w:t>
            </w:r>
          </w:p>
        </w:tc>
        <w:tc>
          <w:tcPr>
            <w:tcW w:type="dxa" w:w="3120"/>
            <w:vAlign w:val="center"/>
            <w:tcMar>
              <w:top w:w="80" w:type="dxa"/>
              <w:start w:w="120" w:type="dxa"/>
              <w:bottom w:w="80" w:type="dxa"/>
              <w:end w:w="120" w:type="dxa"/>
            </w:tcMar>
          </w:tcPr>
          <w:p>
            <w:pPr>
              <w:spacing w:after="0"/>
            </w:pPr>
            <w:r>
              <w:rPr>
                <w:sz w:val="16"/>
              </w:rPr>
              <w:t>W1 engineering-log inventory.</w:t>
            </w:r>
          </w:p>
        </w:tc>
      </w:tr>
      <w:tr>
        <w:tc>
          <w:tcPr>
            <w:tcW w:type="dxa" w:w="3120"/>
            <w:vAlign w:val="center"/>
            <w:tcMar>
              <w:top w:w="80" w:type="dxa"/>
              <w:start w:w="120" w:type="dxa"/>
              <w:bottom w:w="80" w:type="dxa"/>
              <w:end w:w="120" w:type="dxa"/>
            </w:tcMar>
          </w:tcPr>
          <w:p>
            <w:pPr>
              <w:spacing w:after="0"/>
            </w:pPr>
            <w:r>
              <w:rPr>
                <w:sz w:val="16"/>
              </w:rPr>
              <w:t>Container runtime</w:t>
            </w:r>
          </w:p>
        </w:tc>
        <w:tc>
          <w:tcPr>
            <w:tcW w:type="dxa" w:w="3120"/>
            <w:vAlign w:val="center"/>
            <w:tcMar>
              <w:top w:w="80" w:type="dxa"/>
              <w:start w:w="120" w:type="dxa"/>
              <w:bottom w:w="80" w:type="dxa"/>
              <w:end w:w="120" w:type="dxa"/>
            </w:tcMar>
          </w:tcPr>
          <w:p>
            <w:pPr>
              <w:spacing w:after="0"/>
            </w:pPr>
            <w:r>
              <w:rPr>
                <w:sz w:val="16"/>
              </w:rPr>
              <w:t xml:space="preserve">Docker 29.5.0, </w:t>
            </w:r>
            <w:r>
              <w:rPr>
                <w:rFonts w:ascii="Menlo" w:hAnsi="Menlo"/>
                <w:sz w:val="16"/>
              </w:rPr>
              <w:t>runsc</w:t>
            </w:r>
            <w:r>
              <w:rPr>
                <w:sz w:val="16"/>
              </w:rPr>
              <w:t xml:space="preserve"> release-20260511.0 already verified on droplet.</w:t>
            </w:r>
          </w:p>
        </w:tc>
        <w:tc>
          <w:tcPr>
            <w:tcW w:type="dxa" w:w="3120"/>
            <w:vAlign w:val="center"/>
            <w:tcMar>
              <w:top w:w="80" w:type="dxa"/>
              <w:start w:w="120" w:type="dxa"/>
              <w:bottom w:w="80" w:type="dxa"/>
              <w:end w:w="120" w:type="dxa"/>
            </w:tcMar>
          </w:tcPr>
          <w:p>
            <w:pPr>
              <w:spacing w:after="0"/>
            </w:pPr>
            <w:r>
              <w:rPr>
                <w:rFonts w:ascii="Menlo" w:hAnsi="Menlo"/>
                <w:sz w:val="16"/>
              </w:rPr>
              <w:t>deploy/setup.sh</w:t>
            </w:r>
            <w:r>
              <w:rPr>
                <w:sz w:val="16"/>
              </w:rPr>
              <w:t xml:space="preserve"> and host inventory.</w:t>
            </w:r>
          </w:p>
        </w:tc>
      </w:tr>
      <w:tr>
        <w:tc>
          <w:tcPr>
            <w:tcW w:type="dxa" w:w="3120"/>
            <w:vAlign w:val="center"/>
            <w:tcMar>
              <w:top w:w="80" w:type="dxa"/>
              <w:start w:w="120" w:type="dxa"/>
              <w:bottom w:w="80" w:type="dxa"/>
              <w:end w:w="120" w:type="dxa"/>
            </w:tcMar>
          </w:tcPr>
          <w:p>
            <w:pPr>
              <w:spacing w:after="0"/>
            </w:pPr>
            <w:r>
              <w:rPr>
                <w:sz w:val="16"/>
              </w:rPr>
              <w:t>Python</w:t>
            </w:r>
          </w:p>
        </w:tc>
        <w:tc>
          <w:tcPr>
            <w:tcW w:type="dxa" w:w="3120"/>
            <w:vAlign w:val="center"/>
            <w:tcMar>
              <w:top w:w="80" w:type="dxa"/>
              <w:start w:w="120" w:type="dxa"/>
              <w:bottom w:w="80" w:type="dxa"/>
              <w:end w:w="120" w:type="dxa"/>
            </w:tcMar>
          </w:tcPr>
          <w:p>
            <w:pPr>
              <w:spacing w:after="0"/>
            </w:pPr>
            <w:r>
              <w:rPr>
                <w:sz w:val="16"/>
              </w:rPr>
              <w:t>Python 3.11 for service and sandboxed code.</w:t>
            </w:r>
          </w:p>
        </w:tc>
        <w:tc>
          <w:tcPr>
            <w:tcW w:type="dxa" w:w="3120"/>
            <w:vAlign w:val="center"/>
            <w:tcMar>
              <w:top w:w="80" w:type="dxa"/>
              <w:start w:w="120" w:type="dxa"/>
              <w:bottom w:w="80" w:type="dxa"/>
              <w:end w:w="120" w:type="dxa"/>
            </w:tcMar>
          </w:tcPr>
          <w:p>
            <w:pPr>
              <w:spacing w:after="0"/>
            </w:pPr>
            <w:r>
              <w:rPr>
                <w:rFonts w:ascii="Menlo" w:hAnsi="Menlo"/>
                <w:sz w:val="16"/>
              </w:rPr>
              <w:t>.python-version</w:t>
            </w:r>
            <w:r>
              <w:rPr>
                <w:sz w:val="16"/>
              </w:rPr>
              <w:t xml:space="preserve"> or README tested-platforms section.</w:t>
            </w:r>
          </w:p>
        </w:tc>
      </w:tr>
      <w:tr>
        <w:tc>
          <w:tcPr>
            <w:tcW w:type="dxa" w:w="3120"/>
            <w:vAlign w:val="center"/>
            <w:tcMar>
              <w:top w:w="80" w:type="dxa"/>
              <w:start w:w="120" w:type="dxa"/>
              <w:bottom w:w="80" w:type="dxa"/>
              <w:end w:w="120" w:type="dxa"/>
            </w:tcMar>
          </w:tcPr>
          <w:p>
            <w:pPr>
              <w:spacing w:after="0"/>
            </w:pPr>
            <w:r>
              <w:rPr>
                <w:sz w:val="16"/>
              </w:rPr>
              <w:t>API framework</w:t>
            </w:r>
          </w:p>
        </w:tc>
        <w:tc>
          <w:tcPr>
            <w:tcW w:type="dxa" w:w="3120"/>
            <w:vAlign w:val="center"/>
            <w:tcMar>
              <w:top w:w="80" w:type="dxa"/>
              <w:start w:w="120" w:type="dxa"/>
              <w:bottom w:w="80" w:type="dxa"/>
              <w:end w:w="120" w:type="dxa"/>
            </w:tcMar>
          </w:tcPr>
          <w:p>
            <w:pPr>
              <w:spacing w:after="0"/>
            </w:pPr>
            <w:r>
              <w:rPr>
                <w:sz w:val="16"/>
              </w:rPr>
              <w:t xml:space="preserve">FastAPI + Uvicorn, pinned in </w:t>
            </w:r>
            <w:r>
              <w:rPr>
                <w:rFonts w:ascii="Menlo" w:hAnsi="Menlo"/>
                <w:sz w:val="16"/>
              </w:rPr>
              <w:t>requirements.txt</w:t>
            </w:r>
            <w:r>
              <w:rPr>
                <w:sz w:val="16"/>
              </w:rPr>
              <w:t xml:space="preserve"> during W5.</w:t>
            </w:r>
          </w:p>
        </w:tc>
        <w:tc>
          <w:tcPr>
            <w:tcW w:type="dxa" w:w="3120"/>
            <w:vAlign w:val="center"/>
            <w:tcMar>
              <w:top w:w="80" w:type="dxa"/>
              <w:start w:w="120" w:type="dxa"/>
              <w:bottom w:w="80" w:type="dxa"/>
              <w:end w:w="120" w:type="dxa"/>
            </w:tcMar>
          </w:tcPr>
          <w:p>
            <w:pPr>
              <w:spacing w:after="0"/>
            </w:pPr>
            <w:r>
              <w:rPr>
                <w:rFonts w:ascii="Menlo" w:hAnsi="Menlo"/>
                <w:sz w:val="16"/>
              </w:rPr>
              <w:t>requirements.txt</w:t>
            </w:r>
            <w:r>
              <w:rPr>
                <w:sz w:val="16"/>
              </w:rPr>
              <w:t xml:space="preserve"> / lockfile.</w:t>
            </w:r>
          </w:p>
        </w:tc>
      </w:tr>
      <w:tr>
        <w:tc>
          <w:tcPr>
            <w:tcW w:type="dxa" w:w="3120"/>
            <w:vAlign w:val="center"/>
            <w:tcMar>
              <w:top w:w="80" w:type="dxa"/>
              <w:start w:w="120" w:type="dxa"/>
              <w:bottom w:w="80" w:type="dxa"/>
              <w:end w:w="120" w:type="dxa"/>
            </w:tcMar>
          </w:tcPr>
          <w:p>
            <w:pPr>
              <w:spacing w:after="0"/>
            </w:pPr>
            <w:r>
              <w:rPr>
                <w:sz w:val="16"/>
              </w:rPr>
              <w:t>Testing</w:t>
            </w:r>
          </w:p>
        </w:tc>
        <w:tc>
          <w:tcPr>
            <w:tcW w:type="dxa" w:w="3120"/>
            <w:vAlign w:val="center"/>
            <w:tcMar>
              <w:top w:w="80" w:type="dxa"/>
              <w:start w:w="120" w:type="dxa"/>
              <w:bottom w:w="80" w:type="dxa"/>
              <w:end w:w="120" w:type="dxa"/>
            </w:tcMar>
          </w:tcPr>
          <w:p>
            <w:pPr>
              <w:spacing w:after="0"/>
            </w:pPr>
            <w:r>
              <w:rPr>
                <w:rFonts w:ascii="Menlo" w:hAnsi="Menlo"/>
                <w:sz w:val="16"/>
              </w:rPr>
              <w:t>pytest</w:t>
            </w:r>
            <w:r>
              <w:rPr>
                <w:sz w:val="16"/>
              </w:rPr>
              <w:t>, JSON schema validation, shell smoke tests.</w:t>
            </w:r>
          </w:p>
        </w:tc>
        <w:tc>
          <w:tcPr>
            <w:tcW w:type="dxa" w:w="3120"/>
            <w:vAlign w:val="center"/>
            <w:tcMar>
              <w:top w:w="80" w:type="dxa"/>
              <w:start w:w="120" w:type="dxa"/>
              <w:bottom w:w="80" w:type="dxa"/>
              <w:end w:w="120" w:type="dxa"/>
            </w:tcMar>
          </w:tcPr>
          <w:p>
            <w:pPr>
              <w:spacing w:after="0"/>
            </w:pPr>
            <w:r>
              <w:rPr>
                <w:rFonts w:ascii="Menlo" w:hAnsi="Menlo"/>
                <w:sz w:val="16"/>
              </w:rPr>
              <w:t>tests/</w:t>
            </w:r>
            <w:r>
              <w:rPr>
                <w:sz w:val="16"/>
              </w:rPr>
              <w:t xml:space="preserve"> and CI-equivalent command output.</w:t>
            </w:r>
          </w:p>
        </w:tc>
      </w:tr>
      <w:tr>
        <w:tc>
          <w:tcPr>
            <w:tcW w:type="dxa" w:w="3120"/>
            <w:vAlign w:val="center"/>
            <w:tcMar>
              <w:top w:w="80" w:type="dxa"/>
              <w:start w:w="120" w:type="dxa"/>
              <w:bottom w:w="80" w:type="dxa"/>
              <w:end w:w="120" w:type="dxa"/>
            </w:tcMar>
          </w:tcPr>
          <w:p>
            <w:pPr>
              <w:spacing w:after="0"/>
            </w:pPr>
            <w:r>
              <w:rPr>
                <w:sz w:val="16"/>
              </w:rPr>
              <w:t>Benchmarking</w:t>
            </w:r>
          </w:p>
        </w:tc>
        <w:tc>
          <w:tcPr>
            <w:tcW w:type="dxa" w:w="3120"/>
            <w:vAlign w:val="center"/>
            <w:tcMar>
              <w:top w:w="80" w:type="dxa"/>
              <w:start w:w="120" w:type="dxa"/>
              <w:bottom w:w="80" w:type="dxa"/>
              <w:end w:w="120" w:type="dxa"/>
            </w:tcMar>
          </w:tcPr>
          <w:p>
            <w:pPr>
              <w:spacing w:after="0"/>
            </w:pPr>
            <w:r>
              <w:rPr>
                <w:sz w:val="16"/>
              </w:rPr>
              <w:t xml:space="preserve">API benchmark runner with CSV/JSON output; optional </w:t>
            </w:r>
            <w:r>
              <w:rPr>
                <w:rFonts w:ascii="Menlo" w:hAnsi="Menlo"/>
                <w:sz w:val="16"/>
              </w:rPr>
              <w:t>pytest-benchmark</w:t>
            </w:r>
            <w:r>
              <w:rPr>
                <w:sz w:val="16"/>
              </w:rPr>
              <w:t xml:space="preserve"> or </w:t>
            </w:r>
            <w:r>
              <w:rPr>
                <w:rFonts w:ascii="Menlo" w:hAnsi="Menlo"/>
                <w:sz w:val="16"/>
              </w:rPr>
              <w:t>hyperfine</w:t>
            </w:r>
            <w:r>
              <w:rPr>
                <w:sz w:val="16"/>
              </w:rPr>
              <w:t xml:space="preserve"> only if it does not complicate reproducibility.</w:t>
            </w:r>
          </w:p>
        </w:tc>
        <w:tc>
          <w:tcPr>
            <w:tcW w:type="dxa" w:w="3120"/>
            <w:vAlign w:val="center"/>
            <w:tcMar>
              <w:top w:w="80" w:type="dxa"/>
              <w:start w:w="120" w:type="dxa"/>
              <w:bottom w:w="80" w:type="dxa"/>
              <w:end w:w="120" w:type="dxa"/>
            </w:tcMar>
          </w:tcPr>
          <w:p>
            <w:pPr>
              <w:spacing w:after="0"/>
            </w:pPr>
            <w:r>
              <w:rPr>
                <w:rFonts w:ascii="Menlo" w:hAnsi="Menlo"/>
                <w:sz w:val="16"/>
              </w:rPr>
              <w:t>benchmarks/</w:t>
            </w:r>
            <w:r>
              <w:rPr>
                <w:sz w:val="16"/>
              </w:rPr>
              <w:t xml:space="preserve"> and result tables.</w:t>
            </w:r>
          </w:p>
        </w:tc>
      </w:tr>
      <w:tr>
        <w:tc>
          <w:tcPr>
            <w:tcW w:type="dxa" w:w="3120"/>
            <w:vAlign w:val="center"/>
            <w:tcMar>
              <w:top w:w="80" w:type="dxa"/>
              <w:start w:w="120" w:type="dxa"/>
              <w:bottom w:w="80" w:type="dxa"/>
              <w:end w:w="120" w:type="dxa"/>
            </w:tcMar>
          </w:tcPr>
          <w:p>
            <w:pPr>
              <w:spacing w:after="0"/>
            </w:pPr>
            <w:r>
              <w:rPr>
                <w:sz w:val="16"/>
              </w:rPr>
              <w:t>Data/corpora</w:t>
            </w:r>
          </w:p>
        </w:tc>
        <w:tc>
          <w:tcPr>
            <w:tcW w:type="dxa" w:w="3120"/>
            <w:vAlign w:val="center"/>
            <w:tcMar>
              <w:top w:w="80" w:type="dxa"/>
              <w:start w:w="120" w:type="dxa"/>
              <w:bottom w:w="80" w:type="dxa"/>
              <w:end w:w="120" w:type="dxa"/>
            </w:tcMar>
          </w:tcPr>
          <w:p>
            <w:pPr>
              <w:spacing w:after="0"/>
            </w:pPr>
            <w:r>
              <w:rPr>
                <w:sz w:val="16"/>
              </w:rPr>
              <w:t>HumanEval subset, MBPP subset, student-authored functional tests, student-authored adversarial tests.</w:t>
            </w:r>
          </w:p>
        </w:tc>
        <w:tc>
          <w:tcPr>
            <w:tcW w:type="dxa" w:w="3120"/>
            <w:vAlign w:val="center"/>
            <w:tcMar>
              <w:top w:w="80" w:type="dxa"/>
              <w:start w:w="120" w:type="dxa"/>
              <w:bottom w:w="80" w:type="dxa"/>
              <w:end w:w="120" w:type="dxa"/>
            </w:tcMar>
          </w:tcPr>
          <w:p>
            <w:pPr>
              <w:spacing w:after="0"/>
            </w:pPr>
            <w:r>
              <w:rPr>
                <w:sz w:val="16"/>
              </w:rPr>
              <w:t>Manifest files with source, license, and task IDs.</w:t>
            </w:r>
          </w:p>
        </w:tc>
      </w:tr>
      <w:tr>
        <w:tc>
          <w:tcPr>
            <w:tcW w:type="dxa" w:w="3120"/>
            <w:vAlign w:val="center"/>
            <w:tcMar>
              <w:top w:w="80" w:type="dxa"/>
              <w:start w:w="120" w:type="dxa"/>
              <w:bottom w:w="80" w:type="dxa"/>
              <w:end w:w="120" w:type="dxa"/>
            </w:tcMar>
          </w:tcPr>
          <w:p>
            <w:pPr>
              <w:spacing w:after="0"/>
            </w:pPr>
            <w:r>
              <w:rPr>
                <w:sz w:val="16"/>
              </w:rPr>
              <w:t>Secrets</w:t>
            </w:r>
          </w:p>
        </w:tc>
        <w:tc>
          <w:tcPr>
            <w:tcW w:type="dxa" w:w="3120"/>
            <w:vAlign w:val="center"/>
            <w:tcMar>
              <w:top w:w="80" w:type="dxa"/>
              <w:start w:w="120" w:type="dxa"/>
              <w:bottom w:w="80" w:type="dxa"/>
              <w:end w:w="120" w:type="dxa"/>
            </w:tcMar>
          </w:tcPr>
          <w:p>
            <w:pPr>
              <w:spacing w:after="0"/>
            </w:pPr>
            <w:r>
              <w:rPr>
                <w:sz w:val="16"/>
              </w:rPr>
              <w:t xml:space="preserve">Demo API key only in </w:t>
            </w:r>
            <w:r>
              <w:rPr>
                <w:rFonts w:ascii="Menlo" w:hAnsi="Menlo"/>
                <w:sz w:val="16"/>
              </w:rPr>
              <w:t>.env</w:t>
            </w:r>
            <w:r>
              <w:rPr>
                <w:sz w:val="16"/>
              </w:rPr>
              <w:t>, gitignored.</w:t>
            </w:r>
          </w:p>
        </w:tc>
        <w:tc>
          <w:tcPr>
            <w:tcW w:type="dxa" w:w="3120"/>
            <w:vAlign w:val="center"/>
            <w:tcMar>
              <w:top w:w="80" w:type="dxa"/>
              <w:start w:w="120" w:type="dxa"/>
              <w:bottom w:w="80" w:type="dxa"/>
              <w:end w:w="120" w:type="dxa"/>
            </w:tcMar>
          </w:tcPr>
          <w:p>
            <w:pPr>
              <w:spacing w:after="0"/>
            </w:pPr>
            <w:r>
              <w:rPr>
                <w:rFonts w:ascii="Menlo" w:hAnsi="Menlo"/>
                <w:sz w:val="16"/>
              </w:rPr>
              <w:t>.gitignore</w:t>
            </w:r>
            <w:r>
              <w:rPr>
                <w:sz w:val="16"/>
              </w:rPr>
              <w:t>, README, secret check before final.</w:t>
            </w:r>
          </w:p>
        </w:tc>
      </w:tr>
    </w:tbl>
    <w:p/>
    <w:p>
      <w:pPr>
        <w:pStyle w:val="Heading2"/>
      </w:pPr>
      <w:r>
        <w:t>Dependency Strategy</w:t>
      </w:r>
    </w:p>
    <w:p>
      <w:r>
        <w:t xml:space="preserve">The dependency posture is intentionally boring: pin only what the artifact needs, avoid optional orchestration layers, and keep a single setup path. W5 will add </w:t>
      </w:r>
      <w:r>
        <w:rPr>
          <w:rFonts w:ascii="Menlo" w:hAnsi="Menlo"/>
          <w:sz w:val="18"/>
        </w:rPr>
        <w:t>requirements.txt</w:t>
      </w:r>
      <w:r>
        <w:t xml:space="preserve">, a lockfile if time permits, </w:t>
      </w:r>
      <w:r>
        <w:rPr>
          <w:rFonts w:ascii="Menlo" w:hAnsi="Menlo"/>
          <w:sz w:val="18"/>
        </w:rPr>
        <w:t>deploy/setup.sh</w:t>
      </w:r>
      <w:r>
        <w:t xml:space="preserve">, and a </w:t>
      </w:r>
      <w:r>
        <w:rPr>
          <w:rFonts w:ascii="Menlo" w:hAnsi="Menlo"/>
          <w:sz w:val="18"/>
        </w:rPr>
        <w:t>Makefile</w:t>
      </w:r>
      <w:r>
        <w:t xml:space="preserve"> with </w:t>
      </w:r>
      <w:r>
        <w:rPr>
          <w:rFonts w:ascii="Menlo" w:hAnsi="Menlo"/>
          <w:sz w:val="18"/>
        </w:rPr>
        <w:t>make setup</w:t>
      </w:r>
      <w:r>
        <w:t xml:space="preserve">, </w:t>
      </w:r>
      <w:r>
        <w:rPr>
          <w:rFonts w:ascii="Menlo" w:hAnsi="Menlo"/>
          <w:sz w:val="18"/>
        </w:rPr>
        <w:t>make test</w:t>
      </w:r>
      <w:r>
        <w:t xml:space="preserve">, and </w:t>
      </w:r>
      <w:r>
        <w:rPr>
          <w:rFonts w:ascii="Menlo" w:hAnsi="Menlo"/>
          <w:sz w:val="18"/>
        </w:rPr>
        <w:t>make bench</w:t>
      </w:r>
      <w:r>
        <w:t>. The clean-VM reproducibility test in W10 is the final authority on whether the dependency story is acceptable.</w:t>
      </w:r>
    </w:p>
    <w:p>
      <w:pPr>
        <w:pStyle w:val="Heading1"/>
      </w:pPr>
      <w:r>
        <w:t>8. Data, Corpus, and Validation Plan</w:t>
      </w:r>
    </w:p>
    <w:p>
      <w:r>
        <w:t>SafeExec is not training a model, so there is no train/test split in the ML sense. The relevant data artifacts are program corpora and measurement outputs.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sz w:val="16"/>
              </w:rPr>
              <w:t>Artifact</w:t>
            </w:r>
          </w:p>
        </w:tc>
        <w:tc>
          <w:tcPr>
            <w:tcW w:type="dxa" w:w="3120"/>
            <w:vAlign w:val="center"/>
            <w:tcMar>
              <w:top w:w="80" w:type="dxa"/>
              <w:start w:w="120" w:type="dxa"/>
              <w:bottom w:w="80" w:type="dxa"/>
              <w:end w:w="120" w:type="dxa"/>
            </w:tcMar>
            <w:shd w:fill="F2F4F7"/>
          </w:tcPr>
          <w:p>
            <w:pPr>
              <w:spacing w:after="0"/>
            </w:pPr>
            <w:r>
              <w:rPr>
                <w:b/>
                <w:sz w:val="16"/>
              </w:rPr>
              <w:t>Validation rule</w:t>
            </w:r>
          </w:p>
        </w:tc>
        <w:tc>
          <w:tcPr>
            <w:tcW w:type="dxa" w:w="3120"/>
            <w:vAlign w:val="center"/>
            <w:tcMar>
              <w:top w:w="80" w:type="dxa"/>
              <w:start w:w="120" w:type="dxa"/>
              <w:bottom w:w="80" w:type="dxa"/>
              <w:end w:w="120" w:type="dxa"/>
            </w:tcMar>
            <w:shd w:fill="F2F4F7"/>
          </w:tcPr>
          <w:p>
            <w:pPr>
              <w:spacing w:after="0"/>
            </w:pPr>
            <w:r>
              <w:rPr>
                <w:b/>
                <w:sz w:val="16"/>
              </w:rPr>
              <w:t>Bias/error check</w:t>
            </w:r>
          </w:p>
        </w:tc>
      </w:tr>
      <w:tr>
        <w:tc>
          <w:tcPr>
            <w:tcW w:type="dxa" w:w="3120"/>
            <w:vAlign w:val="center"/>
            <w:tcMar>
              <w:top w:w="80" w:type="dxa"/>
              <w:start w:w="120" w:type="dxa"/>
              <w:bottom w:w="80" w:type="dxa"/>
              <w:end w:w="120" w:type="dxa"/>
            </w:tcMar>
          </w:tcPr>
          <w:p>
            <w:pPr>
              <w:spacing w:after="0"/>
            </w:pPr>
            <w:r>
              <w:rPr>
                <w:sz w:val="16"/>
              </w:rPr>
              <w:t>HumanEval subset</w:t>
            </w:r>
          </w:p>
        </w:tc>
        <w:tc>
          <w:tcPr>
            <w:tcW w:type="dxa" w:w="3120"/>
            <w:vAlign w:val="center"/>
            <w:tcMar>
              <w:top w:w="80" w:type="dxa"/>
              <w:start w:w="120" w:type="dxa"/>
              <w:bottom w:w="80" w:type="dxa"/>
              <w:end w:w="120" w:type="dxa"/>
            </w:tcMar>
          </w:tcPr>
          <w:p>
            <w:pPr>
              <w:spacing w:after="0"/>
            </w:pPr>
            <w:r>
              <w:rPr>
                <w:sz w:val="16"/>
              </w:rPr>
              <w:t>Record task IDs, license notice, expected output/tests, and any modifications.</w:t>
            </w:r>
          </w:p>
        </w:tc>
        <w:tc>
          <w:tcPr>
            <w:tcW w:type="dxa" w:w="3120"/>
            <w:vAlign w:val="center"/>
            <w:tcMar>
              <w:top w:w="80" w:type="dxa"/>
              <w:start w:w="120" w:type="dxa"/>
              <w:bottom w:w="80" w:type="dxa"/>
              <w:end w:w="120" w:type="dxa"/>
            </w:tcMar>
          </w:tcPr>
          <w:p>
            <w:pPr>
              <w:spacing w:after="0"/>
            </w:pPr>
            <w:r>
              <w:rPr>
                <w:sz w:val="16"/>
              </w:rPr>
              <w:t>Avoid overrepresenting short algorithmic tasks by adding stdlib/file/error cases.</w:t>
            </w:r>
          </w:p>
        </w:tc>
      </w:tr>
      <w:tr>
        <w:tc>
          <w:tcPr>
            <w:tcW w:type="dxa" w:w="3120"/>
            <w:vAlign w:val="center"/>
            <w:tcMar>
              <w:top w:w="80" w:type="dxa"/>
              <w:start w:w="120" w:type="dxa"/>
              <w:bottom w:w="80" w:type="dxa"/>
              <w:end w:w="120" w:type="dxa"/>
            </w:tcMar>
          </w:tcPr>
          <w:p>
            <w:pPr>
              <w:spacing w:after="0"/>
            </w:pPr>
            <w:r>
              <w:rPr>
                <w:sz w:val="16"/>
              </w:rPr>
              <w:t>MBPP subset</w:t>
            </w:r>
          </w:p>
        </w:tc>
        <w:tc>
          <w:tcPr>
            <w:tcW w:type="dxa" w:w="3120"/>
            <w:vAlign w:val="center"/>
            <w:tcMar>
              <w:top w:w="80" w:type="dxa"/>
              <w:start w:w="120" w:type="dxa"/>
              <w:bottom w:w="80" w:type="dxa"/>
              <w:end w:w="120" w:type="dxa"/>
            </w:tcMar>
          </w:tcPr>
          <w:p>
            <w:pPr>
              <w:spacing w:after="0"/>
            </w:pPr>
            <w:r>
              <w:rPr>
                <w:sz w:val="16"/>
              </w:rPr>
              <w:t>Record task IDs, license/provenance, and expected outputs/tests.</w:t>
            </w:r>
          </w:p>
        </w:tc>
        <w:tc>
          <w:tcPr>
            <w:tcW w:type="dxa" w:w="3120"/>
            <w:vAlign w:val="center"/>
            <w:tcMar>
              <w:top w:w="80" w:type="dxa"/>
              <w:start w:w="120" w:type="dxa"/>
              <w:bottom w:w="80" w:type="dxa"/>
              <w:end w:w="120" w:type="dxa"/>
            </w:tcMar>
          </w:tcPr>
          <w:p>
            <w:pPr>
              <w:spacing w:after="0"/>
            </w:pPr>
            <w:r>
              <w:rPr>
                <w:sz w:val="16"/>
              </w:rPr>
              <w:t>Check overlap with HumanEval categories; do not count near-duplicates twice.</w:t>
            </w:r>
          </w:p>
        </w:tc>
      </w:tr>
      <w:tr>
        <w:tc>
          <w:tcPr>
            <w:tcW w:type="dxa" w:w="3120"/>
            <w:vAlign w:val="center"/>
            <w:tcMar>
              <w:top w:w="80" w:type="dxa"/>
              <w:start w:w="120" w:type="dxa"/>
              <w:bottom w:w="80" w:type="dxa"/>
              <w:end w:w="120" w:type="dxa"/>
            </w:tcMar>
          </w:tcPr>
          <w:p>
            <w:pPr>
              <w:spacing w:after="0"/>
            </w:pPr>
            <w:r>
              <w:rPr>
                <w:sz w:val="16"/>
              </w:rPr>
              <w:t>Student-authored functional tests</w:t>
            </w:r>
          </w:p>
        </w:tc>
        <w:tc>
          <w:tcPr>
            <w:tcW w:type="dxa" w:w="3120"/>
            <w:vAlign w:val="center"/>
            <w:tcMar>
              <w:top w:w="80" w:type="dxa"/>
              <w:start w:w="120" w:type="dxa"/>
              <w:bottom w:w="80" w:type="dxa"/>
              <w:end w:w="120" w:type="dxa"/>
            </w:tcMar>
          </w:tcPr>
          <w:p>
            <w:pPr>
              <w:spacing w:after="0"/>
            </w:pPr>
            <w:r>
              <w:rPr>
                <w:sz w:val="16"/>
              </w:rPr>
              <w:t>Each test has source, expected stdout/stderr/exit code, category, and deterministic seed if relevant.</w:t>
            </w:r>
          </w:p>
        </w:tc>
        <w:tc>
          <w:tcPr>
            <w:tcW w:type="dxa" w:w="3120"/>
            <w:vAlign w:val="center"/>
            <w:tcMar>
              <w:top w:w="80" w:type="dxa"/>
              <w:start w:w="120" w:type="dxa"/>
              <w:bottom w:w="80" w:type="dxa"/>
              <w:end w:w="120" w:type="dxa"/>
            </w:tcMar>
          </w:tcPr>
          <w:p>
            <w:pPr>
              <w:spacing w:after="0"/>
            </w:pPr>
            <w:r>
              <w:rPr>
                <w:sz w:val="16"/>
              </w:rPr>
              <w:t>Review category coverage: arithmetic, imports, files, exceptions, timeouts, stdout/stderr.</w:t>
            </w:r>
          </w:p>
        </w:tc>
      </w:tr>
      <w:tr>
        <w:tc>
          <w:tcPr>
            <w:tcW w:type="dxa" w:w="3120"/>
            <w:vAlign w:val="center"/>
            <w:tcMar>
              <w:top w:w="80" w:type="dxa"/>
              <w:start w:w="120" w:type="dxa"/>
              <w:bottom w:w="80" w:type="dxa"/>
              <w:end w:w="120" w:type="dxa"/>
            </w:tcMar>
          </w:tcPr>
          <w:p>
            <w:pPr>
              <w:spacing w:after="0"/>
            </w:pPr>
            <w:r>
              <w:rPr>
                <w:sz w:val="16"/>
              </w:rPr>
              <w:t>Student-authored adversarial tests</w:t>
            </w:r>
          </w:p>
        </w:tc>
        <w:tc>
          <w:tcPr>
            <w:tcW w:type="dxa" w:w="3120"/>
            <w:vAlign w:val="center"/>
            <w:tcMar>
              <w:top w:w="80" w:type="dxa"/>
              <w:start w:w="120" w:type="dxa"/>
              <w:bottom w:w="80" w:type="dxa"/>
              <w:end w:w="120" w:type="dxa"/>
            </w:tcMar>
          </w:tcPr>
          <w:p>
            <w:pPr>
              <w:spacing w:after="0"/>
            </w:pPr>
            <w:r>
              <w:rPr>
                <w:sz w:val="16"/>
              </w:rPr>
              <w:t>Each test has category, expected-contained outcome, rationale, and allowed error modes.</w:t>
            </w:r>
          </w:p>
        </w:tc>
        <w:tc>
          <w:tcPr>
            <w:tcW w:type="dxa" w:w="3120"/>
            <w:vAlign w:val="center"/>
            <w:tcMar>
              <w:top w:w="80" w:type="dxa"/>
              <w:start w:w="120" w:type="dxa"/>
              <w:bottom w:w="80" w:type="dxa"/>
              <w:end w:w="120" w:type="dxa"/>
            </w:tcMar>
          </w:tcPr>
          <w:p>
            <w:pPr>
              <w:spacing w:after="0"/>
            </w:pPr>
            <w:r>
              <w:rPr>
                <w:sz w:val="16"/>
              </w:rPr>
              <w:t>Avoid copying public exploit code; categorize by behavior, not CVE proof-of-concept replication.</w:t>
            </w:r>
          </w:p>
        </w:tc>
      </w:tr>
      <w:tr>
        <w:tc>
          <w:tcPr>
            <w:tcW w:type="dxa" w:w="3120"/>
            <w:vAlign w:val="center"/>
            <w:tcMar>
              <w:top w:w="80" w:type="dxa"/>
              <w:start w:w="120" w:type="dxa"/>
              <w:bottom w:w="80" w:type="dxa"/>
              <w:end w:w="120" w:type="dxa"/>
            </w:tcMar>
          </w:tcPr>
          <w:p>
            <w:pPr>
              <w:spacing w:after="0"/>
            </w:pPr>
            <w:r>
              <w:rPr>
                <w:sz w:val="16"/>
              </w:rPr>
              <w:t>Benchmark outputs</w:t>
            </w:r>
          </w:p>
        </w:tc>
        <w:tc>
          <w:tcPr>
            <w:tcW w:type="dxa" w:w="3120"/>
            <w:vAlign w:val="center"/>
            <w:tcMar>
              <w:top w:w="80" w:type="dxa"/>
              <w:start w:w="120" w:type="dxa"/>
              <w:bottom w:w="80" w:type="dxa"/>
              <w:end w:w="120" w:type="dxa"/>
            </w:tcMar>
          </w:tcPr>
          <w:p>
            <w:pPr>
              <w:spacing w:after="0"/>
            </w:pPr>
            <w:r>
              <w:rPr>
                <w:sz w:val="16"/>
              </w:rPr>
              <w:t>Include backend, host metadata, sample count, cold/warm flag, duration, memory, exit status, timestamp.</w:t>
            </w:r>
          </w:p>
        </w:tc>
        <w:tc>
          <w:tcPr>
            <w:tcW w:type="dxa" w:w="3120"/>
            <w:vAlign w:val="center"/>
            <w:tcMar>
              <w:top w:w="80" w:type="dxa"/>
              <w:start w:w="120" w:type="dxa"/>
              <w:bottom w:w="80" w:type="dxa"/>
              <w:end w:w="120" w:type="dxa"/>
            </w:tcMar>
          </w:tcPr>
          <w:p>
            <w:pPr>
              <w:spacing w:after="0"/>
            </w:pPr>
            <w:r>
              <w:rPr>
                <w:sz w:val="16"/>
              </w:rPr>
              <w:t>Report medians and 95% confidence intervals; flag host changes.</w:t>
            </w:r>
          </w:p>
        </w:tc>
      </w:tr>
    </w:tbl>
    <w:p/>
    <w:p>
      <w:r>
        <w:t>Adversarial categories for W7 lock: resource exhaustion, PID/fork exhaustion, file-descriptor exhaustion, filesystem persistence/escape attempts, host enumeration, syscall/capability abuse, and network-egress attempts. The target remains at least 40 programs across at least 6 categories by W8.</w:t>
      </w:r>
    </w:p>
    <w:p>
      <w:pPr>
        <w:pStyle w:val="Heading1"/>
      </w:pPr>
      <w:r>
        <w:t>9. Testing and Evaluation Design</w:t>
      </w:r>
    </w:p>
    <w:p>
      <w:pPr>
        <w:jc w:val="center"/>
      </w:pPr>
      <w:r>
        <w:drawing>
          <wp:inline xmlns:a="http://schemas.openxmlformats.org/drawingml/2006/main" xmlns:pic="http://schemas.openxmlformats.org/drawingml/2006/picture">
            <wp:extent cx="5212080" cy="2953512"/>
            <wp:docPr id="2" name="Picture 2"/>
            <wp:cNvGraphicFramePr>
              <a:graphicFrameLocks noChangeAspect="1"/>
            </wp:cNvGraphicFramePr>
            <a:graphic>
              <a:graphicData uri="http://schemas.openxmlformats.org/drawingml/2006/picture">
                <pic:pic>
                  <pic:nvPicPr>
                    <pic:cNvPr id="0" name="evaluation-flow.png"/>
                    <pic:cNvPicPr/>
                  </pic:nvPicPr>
                  <pic:blipFill>
                    <a:blip r:embed="rId10"/>
                    <a:stretch>
                      <a:fillRect/>
                    </a:stretch>
                  </pic:blipFill>
                  <pic:spPr>
                    <a:xfrm>
                      <a:off x="0" y="0"/>
                      <a:ext cx="5212080" cy="2953512"/>
                    </a:xfrm>
                    <a:prstGeom prst="rect"/>
                  </pic:spPr>
                </pic:pic>
              </a:graphicData>
            </a:graphic>
          </wp:inline>
        </w:drawing>
      </w:r>
    </w:p>
    <w:p>
      <w:pPr>
        <w:jc w:val="center"/>
      </w:pPr>
      <w:r>
        <w:rPr>
          <w:i/>
          <w:sz w:val="18"/>
        </w:rPr>
        <w:t>SafeExec evaluation flow</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b/>
                <w:sz w:val="16"/>
              </w:rPr>
              <w:t>Test type</w:t>
            </w:r>
          </w:p>
        </w:tc>
        <w:tc>
          <w:tcPr>
            <w:tcW w:type="dxa" w:w="1872"/>
            <w:vAlign w:val="center"/>
            <w:tcMar>
              <w:top w:w="80" w:type="dxa"/>
              <w:start w:w="120" w:type="dxa"/>
              <w:bottom w:w="80" w:type="dxa"/>
              <w:end w:w="120" w:type="dxa"/>
            </w:tcMar>
            <w:shd w:fill="F2F4F7"/>
          </w:tcPr>
          <w:p>
            <w:pPr>
              <w:spacing w:after="0"/>
            </w:pPr>
            <w:r>
              <w:rPr>
                <w:b/>
                <w:sz w:val="16"/>
              </w:rPr>
              <w:t>Purpose</w:t>
            </w:r>
          </w:p>
        </w:tc>
        <w:tc>
          <w:tcPr>
            <w:tcW w:type="dxa" w:w="1872"/>
            <w:vAlign w:val="center"/>
            <w:tcMar>
              <w:top w:w="80" w:type="dxa"/>
              <w:start w:w="120" w:type="dxa"/>
              <w:bottom w:w="80" w:type="dxa"/>
              <w:end w:w="120" w:type="dxa"/>
            </w:tcMar>
            <w:shd w:fill="F2F4F7"/>
          </w:tcPr>
          <w:p>
            <w:pPr>
              <w:spacing w:after="0"/>
            </w:pPr>
            <w:r>
              <w:rPr>
                <w:b/>
                <w:sz w:val="16"/>
              </w:rPr>
              <w:t>Metric</w:t>
            </w:r>
          </w:p>
        </w:tc>
        <w:tc>
          <w:tcPr>
            <w:tcW w:type="dxa" w:w="1872"/>
            <w:vAlign w:val="center"/>
            <w:tcMar>
              <w:top w:w="80" w:type="dxa"/>
              <w:start w:w="120" w:type="dxa"/>
              <w:bottom w:w="80" w:type="dxa"/>
              <w:end w:w="120" w:type="dxa"/>
            </w:tcMar>
            <w:shd w:fill="F2F4F7"/>
          </w:tcPr>
          <w:p>
            <w:pPr>
              <w:spacing w:after="0"/>
            </w:pPr>
            <w:r>
              <w:rPr>
                <w:b/>
                <w:sz w:val="16"/>
              </w:rPr>
              <w:t>Acceptance threshold</w:t>
            </w:r>
          </w:p>
        </w:tc>
        <w:tc>
          <w:tcPr>
            <w:tcW w:type="dxa" w:w="1872"/>
            <w:vAlign w:val="center"/>
            <w:tcMar>
              <w:top w:w="80" w:type="dxa"/>
              <w:start w:w="120" w:type="dxa"/>
              <w:bottom w:w="80" w:type="dxa"/>
              <w:end w:w="120" w:type="dxa"/>
            </w:tcMar>
            <w:shd w:fill="F2F4F7"/>
          </w:tcPr>
          <w:p>
            <w:pPr>
              <w:spacing w:after="0"/>
            </w:pPr>
            <w:r>
              <w:rPr>
                <w:b/>
                <w:sz w:val="16"/>
              </w:rPr>
              <w:t>Evidence</w:t>
            </w:r>
          </w:p>
        </w:tc>
      </w:tr>
      <w:tr>
        <w:tc>
          <w:tcPr>
            <w:tcW w:type="dxa" w:w="1872"/>
            <w:vAlign w:val="center"/>
            <w:tcMar>
              <w:top w:w="80" w:type="dxa"/>
              <w:start w:w="120" w:type="dxa"/>
              <w:bottom w:w="80" w:type="dxa"/>
              <w:end w:w="120" w:type="dxa"/>
            </w:tcMar>
          </w:tcPr>
          <w:p>
            <w:pPr>
              <w:spacing w:after="0"/>
            </w:pPr>
            <w:r>
              <w:rPr>
                <w:sz w:val="16"/>
              </w:rPr>
              <w:t>Unit tests</w:t>
            </w:r>
          </w:p>
        </w:tc>
        <w:tc>
          <w:tcPr>
            <w:tcW w:type="dxa" w:w="1872"/>
            <w:vAlign w:val="center"/>
            <w:tcMar>
              <w:top w:w="80" w:type="dxa"/>
              <w:start w:w="120" w:type="dxa"/>
              <w:bottom w:w="80" w:type="dxa"/>
              <w:end w:w="120" w:type="dxa"/>
            </w:tcMar>
          </w:tcPr>
          <w:p>
            <w:pPr>
              <w:spacing w:after="0"/>
            </w:pPr>
            <w:r>
              <w:rPr>
                <w:sz w:val="16"/>
              </w:rPr>
              <w:t>Validate request models, limit parsing, workspace cleanup, executor interface.</w:t>
            </w:r>
          </w:p>
        </w:tc>
        <w:tc>
          <w:tcPr>
            <w:tcW w:type="dxa" w:w="1872"/>
            <w:vAlign w:val="center"/>
            <w:tcMar>
              <w:top w:w="80" w:type="dxa"/>
              <w:start w:w="120" w:type="dxa"/>
              <w:bottom w:w="80" w:type="dxa"/>
              <w:end w:w="120" w:type="dxa"/>
            </w:tcMar>
          </w:tcPr>
          <w:p>
            <w:pPr>
              <w:spacing w:after="0"/>
            </w:pPr>
            <w:r>
              <w:rPr>
                <w:sz w:val="16"/>
              </w:rPr>
              <w:t>Pass/fail.</w:t>
            </w:r>
          </w:p>
        </w:tc>
        <w:tc>
          <w:tcPr>
            <w:tcW w:type="dxa" w:w="1872"/>
            <w:vAlign w:val="center"/>
            <w:tcMar>
              <w:top w:w="80" w:type="dxa"/>
              <w:start w:w="120" w:type="dxa"/>
              <w:bottom w:w="80" w:type="dxa"/>
              <w:end w:w="120" w:type="dxa"/>
            </w:tcMar>
          </w:tcPr>
          <w:p>
            <w:pPr>
              <w:spacing w:after="0"/>
            </w:pPr>
            <w:r>
              <w:rPr>
                <w:sz w:val="16"/>
              </w:rPr>
              <w:t>100% for core utility functions.</w:t>
            </w:r>
          </w:p>
        </w:tc>
        <w:tc>
          <w:tcPr>
            <w:tcW w:type="dxa" w:w="1872"/>
            <w:vAlign w:val="center"/>
            <w:tcMar>
              <w:top w:w="80" w:type="dxa"/>
              <w:start w:w="120" w:type="dxa"/>
              <w:bottom w:w="80" w:type="dxa"/>
              <w:end w:w="120" w:type="dxa"/>
            </w:tcMar>
          </w:tcPr>
          <w:p>
            <w:pPr>
              <w:spacing w:after="0"/>
            </w:pPr>
            <w:r>
              <w:rPr>
                <w:rFonts w:ascii="Menlo" w:hAnsi="Menlo"/>
                <w:sz w:val="16"/>
              </w:rPr>
              <w:t>pytest tests/unit</w:t>
            </w:r>
            <w:r>
              <w:rPr>
                <w:sz w:val="16"/>
              </w:rPr>
              <w:t>.</w:t>
            </w:r>
          </w:p>
        </w:tc>
      </w:tr>
      <w:tr>
        <w:tc>
          <w:tcPr>
            <w:tcW w:type="dxa" w:w="1872"/>
            <w:vAlign w:val="center"/>
            <w:tcMar>
              <w:top w:w="80" w:type="dxa"/>
              <w:start w:w="120" w:type="dxa"/>
              <w:bottom w:w="80" w:type="dxa"/>
              <w:end w:w="120" w:type="dxa"/>
            </w:tcMar>
          </w:tcPr>
          <w:p>
            <w:pPr>
              <w:spacing w:after="0"/>
            </w:pPr>
            <w:r>
              <w:rPr>
                <w:sz w:val="16"/>
              </w:rPr>
              <w:t>API integration tests</w:t>
            </w:r>
          </w:p>
        </w:tc>
        <w:tc>
          <w:tcPr>
            <w:tcW w:type="dxa" w:w="1872"/>
            <w:vAlign w:val="center"/>
            <w:tcMar>
              <w:top w:w="80" w:type="dxa"/>
              <w:start w:w="120" w:type="dxa"/>
              <w:bottom w:w="80" w:type="dxa"/>
              <w:end w:w="120" w:type="dxa"/>
            </w:tcMar>
          </w:tcPr>
          <w:p>
            <w:pPr>
              <w:spacing w:after="0"/>
            </w:pPr>
            <w:r>
              <w:rPr>
                <w:sz w:val="16"/>
              </w:rPr>
              <w:t xml:space="preserve">Validate </w:t>
            </w:r>
            <w:r>
              <w:rPr>
                <w:rFonts w:ascii="Menlo" w:hAnsi="Menlo"/>
                <w:sz w:val="16"/>
              </w:rPr>
              <w:t>POST /execute</w:t>
            </w:r>
            <w:r>
              <w:rPr>
                <w:sz w:val="16"/>
              </w:rPr>
              <w:t xml:space="preserve"> behavior and schema.</w:t>
            </w:r>
          </w:p>
        </w:tc>
        <w:tc>
          <w:tcPr>
            <w:tcW w:type="dxa" w:w="1872"/>
            <w:vAlign w:val="center"/>
            <w:tcMar>
              <w:top w:w="80" w:type="dxa"/>
              <w:start w:w="120" w:type="dxa"/>
              <w:bottom w:w="80" w:type="dxa"/>
              <w:end w:w="120" w:type="dxa"/>
            </w:tcMar>
          </w:tcPr>
          <w:p>
            <w:pPr>
              <w:spacing w:after="0"/>
            </w:pPr>
            <w:r>
              <w:rPr>
                <w:sz w:val="16"/>
              </w:rPr>
              <w:t>Pass/fail; schema match.</w:t>
            </w:r>
          </w:p>
        </w:tc>
        <w:tc>
          <w:tcPr>
            <w:tcW w:type="dxa" w:w="1872"/>
            <w:vAlign w:val="center"/>
            <w:tcMar>
              <w:top w:w="80" w:type="dxa"/>
              <w:start w:w="120" w:type="dxa"/>
              <w:bottom w:w="80" w:type="dxa"/>
              <w:end w:w="120" w:type="dxa"/>
            </w:tcMar>
          </w:tcPr>
          <w:p>
            <w:pPr>
              <w:spacing w:after="0"/>
            </w:pPr>
            <w:r>
              <w:rPr>
                <w:sz w:val="16"/>
              </w:rPr>
              <w:t>All core API tests pass.</w:t>
            </w:r>
          </w:p>
        </w:tc>
        <w:tc>
          <w:tcPr>
            <w:tcW w:type="dxa" w:w="1872"/>
            <w:vAlign w:val="center"/>
            <w:tcMar>
              <w:top w:w="80" w:type="dxa"/>
              <w:start w:w="120" w:type="dxa"/>
              <w:bottom w:w="80" w:type="dxa"/>
              <w:end w:w="120" w:type="dxa"/>
            </w:tcMar>
          </w:tcPr>
          <w:p>
            <w:pPr>
              <w:spacing w:after="0"/>
            </w:pPr>
            <w:r>
              <w:rPr>
                <w:rFonts w:ascii="Menlo" w:hAnsi="Menlo"/>
                <w:sz w:val="16"/>
              </w:rPr>
              <w:t>pytest tests/integration</w:t>
            </w:r>
            <w:r>
              <w:rPr>
                <w:sz w:val="16"/>
              </w:rPr>
              <w:t>.</w:t>
            </w:r>
          </w:p>
        </w:tc>
      </w:tr>
      <w:tr>
        <w:tc>
          <w:tcPr>
            <w:tcW w:type="dxa" w:w="1872"/>
            <w:vAlign w:val="center"/>
            <w:tcMar>
              <w:top w:w="80" w:type="dxa"/>
              <w:start w:w="120" w:type="dxa"/>
              <w:bottom w:w="80" w:type="dxa"/>
              <w:end w:w="120" w:type="dxa"/>
            </w:tcMar>
          </w:tcPr>
          <w:p>
            <w:pPr>
              <w:spacing w:after="0"/>
            </w:pPr>
            <w:r>
              <w:rPr>
                <w:sz w:val="16"/>
              </w:rPr>
              <w:t>Functional suite</w:t>
            </w:r>
          </w:p>
        </w:tc>
        <w:tc>
          <w:tcPr>
            <w:tcW w:type="dxa" w:w="1872"/>
            <w:vAlign w:val="center"/>
            <w:tcMar>
              <w:top w:w="80" w:type="dxa"/>
              <w:start w:w="120" w:type="dxa"/>
              <w:bottom w:w="80" w:type="dxa"/>
              <w:end w:w="120" w:type="dxa"/>
            </w:tcMar>
          </w:tcPr>
          <w:p>
            <w:pPr>
              <w:spacing w:after="0"/>
            </w:pPr>
            <w:r>
              <w:rPr>
                <w:sz w:val="16"/>
              </w:rPr>
              <w:t>Confirm benign Python executes correctly.</w:t>
            </w:r>
          </w:p>
        </w:tc>
        <w:tc>
          <w:tcPr>
            <w:tcW w:type="dxa" w:w="1872"/>
            <w:vAlign w:val="center"/>
            <w:tcMar>
              <w:top w:w="80" w:type="dxa"/>
              <w:start w:w="120" w:type="dxa"/>
              <w:bottom w:w="80" w:type="dxa"/>
              <w:end w:w="120" w:type="dxa"/>
            </w:tcMar>
          </w:tcPr>
          <w:p>
            <w:pPr>
              <w:spacing w:after="0"/>
            </w:pPr>
            <w:r>
              <w:rPr>
                <w:sz w:val="16"/>
              </w:rPr>
              <w:t>Pass rate per backend.</w:t>
            </w:r>
          </w:p>
        </w:tc>
        <w:tc>
          <w:tcPr>
            <w:tcW w:type="dxa" w:w="1872"/>
            <w:vAlign w:val="center"/>
            <w:tcMar>
              <w:top w:w="80" w:type="dxa"/>
              <w:start w:w="120" w:type="dxa"/>
              <w:bottom w:w="80" w:type="dxa"/>
              <w:end w:w="120" w:type="dxa"/>
            </w:tcMar>
          </w:tcPr>
          <w:p>
            <w:pPr>
              <w:spacing w:after="0"/>
            </w:pPr>
            <w:r>
              <w:rPr>
                <w:sz w:val="16"/>
              </w:rPr>
              <w:t>&gt;=99% of &gt;=100 programs per backend.</w:t>
            </w:r>
          </w:p>
        </w:tc>
        <w:tc>
          <w:tcPr>
            <w:tcW w:type="dxa" w:w="1872"/>
            <w:vAlign w:val="center"/>
            <w:tcMar>
              <w:top w:w="80" w:type="dxa"/>
              <w:start w:w="120" w:type="dxa"/>
              <w:bottom w:w="80" w:type="dxa"/>
              <w:end w:w="120" w:type="dxa"/>
            </w:tcMar>
          </w:tcPr>
          <w:p>
            <w:pPr>
              <w:spacing w:after="0"/>
            </w:pPr>
            <w:r>
              <w:rPr>
                <w:sz w:val="16"/>
              </w:rPr>
              <w:t>Functional result table.</w:t>
            </w:r>
          </w:p>
        </w:tc>
      </w:tr>
      <w:tr>
        <w:tc>
          <w:tcPr>
            <w:tcW w:type="dxa" w:w="1872"/>
            <w:vAlign w:val="center"/>
            <w:tcMar>
              <w:top w:w="80" w:type="dxa"/>
              <w:start w:w="120" w:type="dxa"/>
              <w:bottom w:w="80" w:type="dxa"/>
              <w:end w:w="120" w:type="dxa"/>
            </w:tcMar>
          </w:tcPr>
          <w:p>
            <w:pPr>
              <w:spacing w:after="0"/>
            </w:pPr>
            <w:r>
              <w:rPr>
                <w:sz w:val="16"/>
              </w:rPr>
              <w:t>Adversarial suite</w:t>
            </w:r>
          </w:p>
        </w:tc>
        <w:tc>
          <w:tcPr>
            <w:tcW w:type="dxa" w:w="1872"/>
            <w:vAlign w:val="center"/>
            <w:tcMar>
              <w:top w:w="80" w:type="dxa"/>
              <w:start w:w="120" w:type="dxa"/>
              <w:bottom w:w="80" w:type="dxa"/>
              <w:end w:w="120" w:type="dxa"/>
            </w:tcMar>
          </w:tcPr>
          <w:p>
            <w:pPr>
              <w:spacing w:after="0"/>
            </w:pPr>
            <w:r>
              <w:rPr>
                <w:sz w:val="16"/>
              </w:rPr>
              <w:t>Measure containment behavior.</w:t>
            </w:r>
          </w:p>
        </w:tc>
        <w:tc>
          <w:tcPr>
            <w:tcW w:type="dxa" w:w="1872"/>
            <w:vAlign w:val="center"/>
            <w:tcMar>
              <w:top w:w="80" w:type="dxa"/>
              <w:start w:w="120" w:type="dxa"/>
              <w:bottom w:w="80" w:type="dxa"/>
              <w:end w:w="120" w:type="dxa"/>
            </w:tcMar>
          </w:tcPr>
          <w:p>
            <w:pPr>
              <w:spacing w:after="0"/>
            </w:pPr>
            <w:r>
              <w:rPr>
                <w:sz w:val="16"/>
              </w:rPr>
              <w:t>Contained-outcome rate by backend/category.</w:t>
            </w:r>
          </w:p>
        </w:tc>
        <w:tc>
          <w:tcPr>
            <w:tcW w:type="dxa" w:w="1872"/>
            <w:vAlign w:val="center"/>
            <w:tcMar>
              <w:top w:w="80" w:type="dxa"/>
              <w:start w:w="120" w:type="dxa"/>
              <w:bottom w:w="80" w:type="dxa"/>
              <w:end w:w="120" w:type="dxa"/>
            </w:tcMar>
          </w:tcPr>
          <w:p>
            <w:pPr>
              <w:spacing w:after="0"/>
            </w:pPr>
            <w:r>
              <w:rPr>
                <w:sz w:val="16"/>
              </w:rPr>
              <w:t>Docker &gt;=90%; gVisor &gt;=95%; null results reported.</w:t>
            </w:r>
          </w:p>
        </w:tc>
        <w:tc>
          <w:tcPr>
            <w:tcW w:type="dxa" w:w="1872"/>
            <w:vAlign w:val="center"/>
            <w:tcMar>
              <w:top w:w="80" w:type="dxa"/>
              <w:start w:w="120" w:type="dxa"/>
              <w:bottom w:w="80" w:type="dxa"/>
              <w:end w:w="120" w:type="dxa"/>
            </w:tcMar>
          </w:tcPr>
          <w:p>
            <w:pPr>
              <w:spacing w:after="0"/>
            </w:pPr>
            <w:r>
              <w:rPr>
                <w:sz w:val="16"/>
              </w:rPr>
              <w:t>Adversarial manifest + result table.</w:t>
            </w:r>
          </w:p>
        </w:tc>
      </w:tr>
      <w:tr>
        <w:tc>
          <w:tcPr>
            <w:tcW w:type="dxa" w:w="1872"/>
            <w:vAlign w:val="center"/>
            <w:tcMar>
              <w:top w:w="80" w:type="dxa"/>
              <w:start w:w="120" w:type="dxa"/>
              <w:bottom w:w="80" w:type="dxa"/>
              <w:end w:w="120" w:type="dxa"/>
            </w:tcMar>
          </w:tcPr>
          <w:p>
            <w:pPr>
              <w:spacing w:after="0"/>
            </w:pPr>
            <w:r>
              <w:rPr>
                <w:sz w:val="16"/>
              </w:rPr>
              <w:t>Performance benchmark</w:t>
            </w:r>
          </w:p>
        </w:tc>
        <w:tc>
          <w:tcPr>
            <w:tcW w:type="dxa" w:w="1872"/>
            <w:vAlign w:val="center"/>
            <w:tcMar>
              <w:top w:w="80" w:type="dxa"/>
              <w:start w:w="120" w:type="dxa"/>
              <w:bottom w:w="80" w:type="dxa"/>
              <w:end w:w="120" w:type="dxa"/>
            </w:tcMar>
          </w:tcPr>
          <w:p>
            <w:pPr>
              <w:spacing w:after="0"/>
            </w:pPr>
            <w:r>
              <w:rPr>
                <w:sz w:val="16"/>
              </w:rPr>
              <w:t>Measure overhead and tradeoff.</w:t>
            </w:r>
          </w:p>
        </w:tc>
        <w:tc>
          <w:tcPr>
            <w:tcW w:type="dxa" w:w="1872"/>
            <w:vAlign w:val="center"/>
            <w:tcMar>
              <w:top w:w="80" w:type="dxa"/>
              <w:start w:w="120" w:type="dxa"/>
              <w:bottom w:w="80" w:type="dxa"/>
              <w:end w:w="120" w:type="dxa"/>
            </w:tcMar>
          </w:tcPr>
          <w:p>
            <w:pPr>
              <w:spacing w:after="0"/>
            </w:pPr>
            <w:r>
              <w:rPr>
                <w:sz w:val="16"/>
              </w:rPr>
              <w:t>Median duration, 95% CI, memory, overhead ratio.</w:t>
            </w:r>
          </w:p>
        </w:tc>
        <w:tc>
          <w:tcPr>
            <w:tcW w:type="dxa" w:w="1872"/>
            <w:vAlign w:val="center"/>
            <w:tcMar>
              <w:top w:w="80" w:type="dxa"/>
              <w:start w:w="120" w:type="dxa"/>
              <w:bottom w:w="80" w:type="dxa"/>
              <w:end w:w="120" w:type="dxa"/>
            </w:tcMar>
          </w:tcPr>
          <w:p>
            <w:pPr>
              <w:spacing w:after="0"/>
            </w:pPr>
            <w:r>
              <w:rPr>
                <w:sz w:val="16"/>
              </w:rPr>
              <w:t>&gt;=30 samples per backend/condition; report, not pass/fail.</w:t>
            </w:r>
          </w:p>
        </w:tc>
        <w:tc>
          <w:tcPr>
            <w:tcW w:type="dxa" w:w="1872"/>
            <w:vAlign w:val="center"/>
            <w:tcMar>
              <w:top w:w="80" w:type="dxa"/>
              <w:start w:w="120" w:type="dxa"/>
              <w:bottom w:w="80" w:type="dxa"/>
              <w:end w:w="120" w:type="dxa"/>
            </w:tcMar>
          </w:tcPr>
          <w:p>
            <w:pPr>
              <w:spacing w:after="0"/>
            </w:pPr>
            <w:r>
              <w:rPr>
                <w:sz w:val="16"/>
              </w:rPr>
              <w:t>Benchmark CSV/JSON + plots.</w:t>
            </w:r>
          </w:p>
        </w:tc>
      </w:tr>
      <w:tr>
        <w:tc>
          <w:tcPr>
            <w:tcW w:type="dxa" w:w="1872"/>
            <w:vAlign w:val="center"/>
            <w:tcMar>
              <w:top w:w="80" w:type="dxa"/>
              <w:start w:w="120" w:type="dxa"/>
              <w:bottom w:w="80" w:type="dxa"/>
              <w:end w:w="120" w:type="dxa"/>
            </w:tcMar>
          </w:tcPr>
          <w:p>
            <w:pPr>
              <w:spacing w:after="0"/>
            </w:pPr>
            <w:r>
              <w:rPr>
                <w:sz w:val="16"/>
              </w:rPr>
              <w:t>Reproducibility run</w:t>
            </w:r>
          </w:p>
        </w:tc>
        <w:tc>
          <w:tcPr>
            <w:tcW w:type="dxa" w:w="1872"/>
            <w:vAlign w:val="center"/>
            <w:tcMar>
              <w:top w:w="80" w:type="dxa"/>
              <w:start w:w="120" w:type="dxa"/>
              <w:bottom w:w="80" w:type="dxa"/>
              <w:end w:w="120" w:type="dxa"/>
            </w:tcMar>
          </w:tcPr>
          <w:p>
            <w:pPr>
              <w:spacing w:after="0"/>
            </w:pPr>
            <w:r>
              <w:rPr>
                <w:sz w:val="16"/>
              </w:rPr>
              <w:t>Confirm another clean host can run the artifact.</w:t>
            </w:r>
          </w:p>
        </w:tc>
        <w:tc>
          <w:tcPr>
            <w:tcW w:type="dxa" w:w="1872"/>
            <w:vAlign w:val="center"/>
            <w:tcMar>
              <w:top w:w="80" w:type="dxa"/>
              <w:start w:w="120" w:type="dxa"/>
              <w:bottom w:w="80" w:type="dxa"/>
              <w:end w:w="120" w:type="dxa"/>
            </w:tcMar>
          </w:tcPr>
          <w:p>
            <w:pPr>
              <w:spacing w:after="0"/>
            </w:pPr>
            <w:r>
              <w:rPr>
                <w:sz w:val="16"/>
              </w:rPr>
              <w:t>Setup time, command success, numeric agreement.</w:t>
            </w:r>
          </w:p>
        </w:tc>
        <w:tc>
          <w:tcPr>
            <w:tcW w:type="dxa" w:w="1872"/>
            <w:vAlign w:val="center"/>
            <w:tcMar>
              <w:top w:w="80" w:type="dxa"/>
              <w:start w:w="120" w:type="dxa"/>
              <w:bottom w:w="80" w:type="dxa"/>
              <w:end w:w="120" w:type="dxa"/>
            </w:tcMar>
          </w:tcPr>
          <w:p>
            <w:pPr>
              <w:spacing w:after="0"/>
            </w:pPr>
            <w:r>
              <w:rPr>
                <w:rFonts w:ascii="Menlo" w:hAnsi="Menlo"/>
                <w:sz w:val="16"/>
              </w:rPr>
              <w:t>make setup &amp;&amp; make test &amp;&amp; make bench</w:t>
            </w:r>
            <w:r>
              <w:rPr>
                <w:sz w:val="16"/>
              </w:rPr>
              <w:t>; numbers within +/-10% on equivalent hardware.</w:t>
            </w:r>
          </w:p>
        </w:tc>
        <w:tc>
          <w:tcPr>
            <w:tcW w:type="dxa" w:w="1872"/>
            <w:vAlign w:val="center"/>
            <w:tcMar>
              <w:top w:w="80" w:type="dxa"/>
              <w:start w:w="120" w:type="dxa"/>
              <w:bottom w:w="80" w:type="dxa"/>
              <w:end w:w="120" w:type="dxa"/>
            </w:tcMar>
          </w:tcPr>
          <w:p>
            <w:pPr>
              <w:spacing w:after="0"/>
            </w:pPr>
            <w:r>
              <w:rPr>
                <w:sz w:val="16"/>
              </w:rPr>
              <w:t>W10 clean-host log.</w:t>
            </w:r>
          </w:p>
        </w:tc>
      </w:tr>
    </w:tbl>
    <w:p/>
    <w:p>
      <w:pPr>
        <w:pStyle w:val="Heading2"/>
      </w:pPr>
      <w:r>
        <w:t>Benchmark Protocol</w:t>
      </w:r>
    </w:p>
    <w:p>
      <w:r>
        <w:t>Each backend/condition pair gets at least 30 measured samples after warm-up. Conditions are cold-start, warm-start, and steady-state short-program execution. Results report median, interquartile range, and 95% confidence interval for median or mean as appropriate. The report will include host metadata, Docker/runsc versions, exact command lines, and any excluded samples with reasons.</w:t>
      </w:r>
    </w:p>
    <w:p>
      <w:pPr>
        <w:pStyle w:val="Heading2"/>
      </w:pPr>
      <w:r>
        <w:t>Baselines and Comparisons</w:t>
      </w:r>
    </w:p>
    <w:p>
      <w:r>
        <w:t>The main comparison is hardened Docker vs gVisor through the same API and test corpus. CPython on the host is used only as a reference-output generator for functional correctness, not as a security baseline. E2B/OpenAI/Anthropic/Modal are related-work context, not benchmark targets, because their infrastructure is managed and not methodologically comparable inside this academic artifact.</w:t>
      </w:r>
    </w:p>
    <w:p>
      <w:pPr>
        <w:pStyle w:val="Heading1"/>
      </w:pPr>
      <w:r>
        <w:t>10. Implementation-Risk Controls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b/>
                <w:sz w:val="16"/>
              </w:rPr>
              <w:t>Risk</w:t>
            </w:r>
          </w:p>
        </w:tc>
        <w:tc>
          <w:tcPr>
            <w:tcW w:type="dxa" w:w="2340"/>
            <w:vAlign w:val="center"/>
            <w:tcMar>
              <w:top w:w="80" w:type="dxa"/>
              <w:start w:w="120" w:type="dxa"/>
              <w:bottom w:w="80" w:type="dxa"/>
              <w:end w:w="120" w:type="dxa"/>
            </w:tcMar>
            <w:shd w:fill="F2F4F7"/>
          </w:tcPr>
          <w:p>
            <w:pPr>
              <w:spacing w:after="0"/>
            </w:pPr>
            <w:r>
              <w:rPr>
                <w:b/>
                <w:sz w:val="16"/>
              </w:rPr>
              <w:t>Early signal</w:t>
            </w:r>
          </w:p>
        </w:tc>
        <w:tc>
          <w:tcPr>
            <w:tcW w:type="dxa" w:w="2340"/>
            <w:vAlign w:val="center"/>
            <w:tcMar>
              <w:top w:w="80" w:type="dxa"/>
              <w:start w:w="120" w:type="dxa"/>
              <w:bottom w:w="80" w:type="dxa"/>
              <w:end w:w="120" w:type="dxa"/>
            </w:tcMar>
            <w:shd w:fill="F2F4F7"/>
          </w:tcPr>
          <w:p>
            <w:pPr>
              <w:spacing w:after="0"/>
            </w:pPr>
            <w:r>
              <w:rPr>
                <w:b/>
                <w:sz w:val="16"/>
              </w:rPr>
              <w:t>De-risk action</w:t>
            </w:r>
          </w:p>
        </w:tc>
        <w:tc>
          <w:tcPr>
            <w:tcW w:type="dxa" w:w="2340"/>
            <w:vAlign w:val="center"/>
            <w:tcMar>
              <w:top w:w="80" w:type="dxa"/>
              <w:start w:w="120" w:type="dxa"/>
              <w:bottom w:w="80" w:type="dxa"/>
              <w:end w:w="120" w:type="dxa"/>
            </w:tcMar>
            <w:shd w:fill="F2F4F7"/>
          </w:tcPr>
          <w:p>
            <w:pPr>
              <w:spacing w:after="0"/>
            </w:pPr>
            <w:r>
              <w:rPr>
                <w:b/>
                <w:sz w:val="16"/>
              </w:rPr>
              <w:t>Fallback</w:t>
            </w:r>
          </w:p>
        </w:tc>
      </w:tr>
      <w:tr>
        <w:tc>
          <w:tcPr>
            <w:tcW w:type="dxa" w:w="2340"/>
            <w:vAlign w:val="center"/>
            <w:tcMar>
              <w:top w:w="80" w:type="dxa"/>
              <w:start w:w="120" w:type="dxa"/>
              <w:bottom w:w="80" w:type="dxa"/>
              <w:end w:w="120" w:type="dxa"/>
            </w:tcMar>
          </w:tcPr>
          <w:p>
            <w:pPr>
              <w:spacing w:after="0"/>
            </w:pPr>
            <w:r>
              <w:rPr>
                <w:sz w:val="16"/>
              </w:rPr>
              <w:t>Docker API path slips</w:t>
            </w:r>
          </w:p>
        </w:tc>
        <w:tc>
          <w:tcPr>
            <w:tcW w:type="dxa" w:w="2340"/>
            <w:vAlign w:val="center"/>
            <w:tcMar>
              <w:top w:w="80" w:type="dxa"/>
              <w:start w:w="120" w:type="dxa"/>
              <w:bottom w:w="80" w:type="dxa"/>
              <w:end w:w="120" w:type="dxa"/>
            </w:tcMar>
          </w:tcPr>
          <w:p>
            <w:pPr>
              <w:spacing w:after="0"/>
            </w:pPr>
            <w:r>
              <w:rPr>
                <w:sz w:val="16"/>
              </w:rPr>
              <w:t xml:space="preserve">No hello-world via </w:t>
            </w:r>
            <w:r>
              <w:rPr>
                <w:rFonts w:ascii="Menlo" w:hAnsi="Menlo"/>
                <w:sz w:val="16"/>
              </w:rPr>
              <w:t>POST /execute</w:t>
            </w:r>
            <w:r>
              <w:rPr>
                <w:sz w:val="16"/>
              </w:rPr>
              <w:t xml:space="preserve"> by 2026-06-12.</w:t>
            </w:r>
          </w:p>
        </w:tc>
        <w:tc>
          <w:tcPr>
            <w:tcW w:type="dxa" w:w="2340"/>
            <w:vAlign w:val="center"/>
            <w:tcMar>
              <w:top w:w="80" w:type="dxa"/>
              <w:start w:w="120" w:type="dxa"/>
              <w:bottom w:w="80" w:type="dxa"/>
              <w:end w:w="120" w:type="dxa"/>
            </w:tcMar>
          </w:tcPr>
          <w:p>
            <w:pPr>
              <w:spacing w:after="0"/>
            </w:pPr>
            <w:r>
              <w:rPr>
                <w:sz w:val="16"/>
              </w:rPr>
              <w:t>Cut optional docs, implement smallest Docker executor path.</w:t>
            </w:r>
          </w:p>
        </w:tc>
        <w:tc>
          <w:tcPr>
            <w:tcW w:type="dxa" w:w="2340"/>
            <w:vAlign w:val="center"/>
            <w:tcMar>
              <w:top w:w="80" w:type="dxa"/>
              <w:start w:w="120" w:type="dxa"/>
              <w:bottom w:w="80" w:type="dxa"/>
              <w:end w:w="120" w:type="dxa"/>
            </w:tcMar>
          </w:tcPr>
          <w:p>
            <w:pPr>
              <w:spacing w:after="0"/>
            </w:pPr>
            <w:r>
              <w:rPr>
                <w:sz w:val="16"/>
              </w:rPr>
              <w:t>Combine W5/W6, report delay.</w:t>
            </w:r>
          </w:p>
        </w:tc>
      </w:tr>
      <w:tr>
        <w:tc>
          <w:tcPr>
            <w:tcW w:type="dxa" w:w="2340"/>
            <w:vAlign w:val="center"/>
            <w:tcMar>
              <w:top w:w="80" w:type="dxa"/>
              <w:start w:w="120" w:type="dxa"/>
              <w:bottom w:w="80" w:type="dxa"/>
              <w:end w:w="120" w:type="dxa"/>
            </w:tcMar>
          </w:tcPr>
          <w:p>
            <w:pPr>
              <w:spacing w:after="0"/>
            </w:pPr>
            <w:r>
              <w:rPr>
                <w:sz w:val="16"/>
              </w:rPr>
              <w:t>Docker hardening becomes unstable</w:t>
            </w:r>
          </w:p>
        </w:tc>
        <w:tc>
          <w:tcPr>
            <w:tcW w:type="dxa" w:w="2340"/>
            <w:vAlign w:val="center"/>
            <w:tcMar>
              <w:top w:w="80" w:type="dxa"/>
              <w:start w:w="120" w:type="dxa"/>
              <w:bottom w:w="80" w:type="dxa"/>
              <w:end w:w="120" w:type="dxa"/>
            </w:tcMar>
          </w:tcPr>
          <w:p>
            <w:pPr>
              <w:spacing w:after="0"/>
            </w:pPr>
            <w:r>
              <w:rPr>
                <w:sz w:val="16"/>
              </w:rPr>
              <w:t>Functional tests pass only with weak/default Docker settings.</w:t>
            </w:r>
          </w:p>
        </w:tc>
        <w:tc>
          <w:tcPr>
            <w:tcW w:type="dxa" w:w="2340"/>
            <w:vAlign w:val="center"/>
            <w:tcMar>
              <w:top w:w="80" w:type="dxa"/>
              <w:start w:w="120" w:type="dxa"/>
              <w:bottom w:w="80" w:type="dxa"/>
              <w:end w:w="120" w:type="dxa"/>
            </w:tcMar>
          </w:tcPr>
          <w:p>
            <w:pPr>
              <w:spacing w:after="0"/>
            </w:pPr>
            <w:r>
              <w:rPr>
                <w:sz w:val="16"/>
              </w:rPr>
              <w:t>Add hardening controls one at a time with negative tests.</w:t>
            </w:r>
          </w:p>
        </w:tc>
        <w:tc>
          <w:tcPr>
            <w:tcW w:type="dxa" w:w="2340"/>
            <w:vAlign w:val="center"/>
            <w:tcMar>
              <w:top w:w="80" w:type="dxa"/>
              <w:start w:w="120" w:type="dxa"/>
              <w:bottom w:w="80" w:type="dxa"/>
              <w:end w:w="120" w:type="dxa"/>
            </w:tcMar>
          </w:tcPr>
          <w:p>
            <w:pPr>
              <w:spacing w:after="0"/>
            </w:pPr>
            <w:r>
              <w:rPr>
                <w:sz w:val="16"/>
              </w:rPr>
              <w:t>Document unsupported control and preserve strongest stable set.</w:t>
            </w:r>
          </w:p>
        </w:tc>
      </w:tr>
      <w:tr>
        <w:tc>
          <w:tcPr>
            <w:tcW w:type="dxa" w:w="2340"/>
            <w:vAlign w:val="center"/>
            <w:tcMar>
              <w:top w:w="80" w:type="dxa"/>
              <w:start w:w="120" w:type="dxa"/>
              <w:bottom w:w="80" w:type="dxa"/>
              <w:end w:w="120" w:type="dxa"/>
            </w:tcMar>
          </w:tcPr>
          <w:p>
            <w:pPr>
              <w:spacing w:after="0"/>
            </w:pPr>
            <w:r>
              <w:rPr>
                <w:sz w:val="16"/>
              </w:rPr>
              <w:t>Adversarial suite grows too slowly</w:t>
            </w:r>
          </w:p>
        </w:tc>
        <w:tc>
          <w:tcPr>
            <w:tcW w:type="dxa" w:w="2340"/>
            <w:vAlign w:val="center"/>
            <w:tcMar>
              <w:top w:w="80" w:type="dxa"/>
              <w:start w:w="120" w:type="dxa"/>
              <w:bottom w:w="80" w:type="dxa"/>
              <w:end w:w="120" w:type="dxa"/>
            </w:tcMar>
          </w:tcPr>
          <w:p>
            <w:pPr>
              <w:spacing w:after="0"/>
            </w:pPr>
            <w:r>
              <w:rPr>
                <w:sz w:val="16"/>
              </w:rPr>
              <w:t>Fewer than 20 adversarial programs by W7.</w:t>
            </w:r>
          </w:p>
        </w:tc>
        <w:tc>
          <w:tcPr>
            <w:tcW w:type="dxa" w:w="2340"/>
            <w:vAlign w:val="center"/>
            <w:tcMar>
              <w:top w:w="80" w:type="dxa"/>
              <w:start w:w="120" w:type="dxa"/>
              <w:bottom w:w="80" w:type="dxa"/>
              <w:end w:w="120" w:type="dxa"/>
            </w:tcMar>
          </w:tcPr>
          <w:p>
            <w:pPr>
              <w:spacing w:after="0"/>
            </w:pPr>
            <w:r>
              <w:rPr>
                <w:sz w:val="16"/>
              </w:rPr>
              <w:t>Prioritize category coverage over clever edge cases.</w:t>
            </w:r>
          </w:p>
        </w:tc>
        <w:tc>
          <w:tcPr>
            <w:tcW w:type="dxa" w:w="2340"/>
            <w:vAlign w:val="center"/>
            <w:tcMar>
              <w:top w:w="80" w:type="dxa"/>
              <w:start w:w="120" w:type="dxa"/>
              <w:bottom w:w="80" w:type="dxa"/>
              <w:end w:w="120" w:type="dxa"/>
            </w:tcMar>
          </w:tcPr>
          <w:p>
            <w:pPr>
              <w:spacing w:after="0"/>
            </w:pPr>
            <w:r>
              <w:rPr>
                <w:sz w:val="16"/>
              </w:rPr>
              <w:t>Ship fewer tests per category but keep &gt;=6 categories.</w:t>
            </w:r>
          </w:p>
        </w:tc>
      </w:tr>
      <w:tr>
        <w:tc>
          <w:tcPr>
            <w:tcW w:type="dxa" w:w="2340"/>
            <w:vAlign w:val="center"/>
            <w:tcMar>
              <w:top w:w="80" w:type="dxa"/>
              <w:start w:w="120" w:type="dxa"/>
              <w:bottom w:w="80" w:type="dxa"/>
              <w:end w:w="120" w:type="dxa"/>
            </w:tcMar>
          </w:tcPr>
          <w:p>
            <w:pPr>
              <w:spacing w:after="0"/>
            </w:pPr>
            <w:r>
              <w:rPr>
                <w:sz w:val="16"/>
              </w:rPr>
              <w:t>gVisor integration slips</w:t>
            </w:r>
          </w:p>
        </w:tc>
        <w:tc>
          <w:tcPr>
            <w:tcW w:type="dxa" w:w="2340"/>
            <w:vAlign w:val="center"/>
            <w:tcMar>
              <w:top w:w="80" w:type="dxa"/>
              <w:start w:w="120" w:type="dxa"/>
              <w:bottom w:w="80" w:type="dxa"/>
              <w:end w:w="120" w:type="dxa"/>
            </w:tcMar>
          </w:tcPr>
          <w:p>
            <w:pPr>
              <w:spacing w:after="0"/>
            </w:pPr>
            <w:r>
              <w:rPr>
                <w:rFonts w:ascii="Menlo" w:hAnsi="Menlo"/>
                <w:sz w:val="16"/>
              </w:rPr>
              <w:t>runsc</w:t>
            </w:r>
            <w:r>
              <w:rPr>
                <w:sz w:val="16"/>
              </w:rPr>
              <w:t xml:space="preserve"> cannot run API path by W7 midpoint.</w:t>
            </w:r>
          </w:p>
        </w:tc>
        <w:tc>
          <w:tcPr>
            <w:tcW w:type="dxa" w:w="2340"/>
            <w:vAlign w:val="center"/>
            <w:tcMar>
              <w:top w:w="80" w:type="dxa"/>
              <w:start w:w="120" w:type="dxa"/>
              <w:bottom w:w="80" w:type="dxa"/>
              <w:end w:w="120" w:type="dxa"/>
            </w:tcMar>
          </w:tcPr>
          <w:p>
            <w:pPr>
              <w:spacing w:after="0"/>
            </w:pPr>
            <w:r>
              <w:rPr>
                <w:sz w:val="16"/>
              </w:rPr>
              <w:t>Keep same executor interface; isolate runtime-specific debugging.</w:t>
            </w:r>
          </w:p>
        </w:tc>
        <w:tc>
          <w:tcPr>
            <w:tcW w:type="dxa" w:w="2340"/>
            <w:vAlign w:val="center"/>
            <w:tcMar>
              <w:top w:w="80" w:type="dxa"/>
              <w:start w:w="120" w:type="dxa"/>
              <w:bottom w:w="80" w:type="dxa"/>
              <w:end w:w="120" w:type="dxa"/>
            </w:tcMar>
          </w:tcPr>
          <w:p>
            <w:pPr>
              <w:spacing w:after="0"/>
            </w:pPr>
            <w:r>
              <w:rPr>
                <w:sz w:val="16"/>
              </w:rPr>
              <w:t>Drop gVisor at W7 and reframe evaluation around Docker hardening variants.</w:t>
            </w:r>
          </w:p>
        </w:tc>
      </w:tr>
      <w:tr>
        <w:tc>
          <w:tcPr>
            <w:tcW w:type="dxa" w:w="2340"/>
            <w:vAlign w:val="center"/>
            <w:tcMar>
              <w:top w:w="80" w:type="dxa"/>
              <w:start w:w="120" w:type="dxa"/>
              <w:bottom w:w="80" w:type="dxa"/>
              <w:end w:w="120" w:type="dxa"/>
            </w:tcMar>
          </w:tcPr>
          <w:p>
            <w:pPr>
              <w:spacing w:after="0"/>
            </w:pPr>
            <w:r>
              <w:rPr>
                <w:sz w:val="16"/>
              </w:rPr>
              <w:t>Benchmark variability is high</w:t>
            </w:r>
          </w:p>
        </w:tc>
        <w:tc>
          <w:tcPr>
            <w:tcW w:type="dxa" w:w="2340"/>
            <w:vAlign w:val="center"/>
            <w:tcMar>
              <w:top w:w="80" w:type="dxa"/>
              <w:start w:w="120" w:type="dxa"/>
              <w:bottom w:w="80" w:type="dxa"/>
              <w:end w:w="120" w:type="dxa"/>
            </w:tcMar>
          </w:tcPr>
          <w:p>
            <w:pPr>
              <w:spacing w:after="0"/>
            </w:pPr>
            <w:r>
              <w:rPr>
                <w:sz w:val="16"/>
              </w:rPr>
              <w:t>Wide confidence intervals or host noise.</w:t>
            </w:r>
          </w:p>
        </w:tc>
        <w:tc>
          <w:tcPr>
            <w:tcW w:type="dxa" w:w="2340"/>
            <w:vAlign w:val="center"/>
            <w:tcMar>
              <w:top w:w="80" w:type="dxa"/>
              <w:start w:w="120" w:type="dxa"/>
              <w:bottom w:w="80" w:type="dxa"/>
              <w:end w:w="120" w:type="dxa"/>
            </w:tcMar>
          </w:tcPr>
          <w:p>
            <w:pPr>
              <w:spacing w:after="0"/>
            </w:pPr>
            <w:r>
              <w:rPr>
                <w:sz w:val="16"/>
              </w:rPr>
              <w:t>Increase samples, separate cold/warm, record host metadata.</w:t>
            </w:r>
          </w:p>
        </w:tc>
        <w:tc>
          <w:tcPr>
            <w:tcW w:type="dxa" w:w="2340"/>
            <w:vAlign w:val="center"/>
            <w:tcMar>
              <w:top w:w="80" w:type="dxa"/>
              <w:start w:w="120" w:type="dxa"/>
              <w:bottom w:w="80" w:type="dxa"/>
              <w:end w:w="120" w:type="dxa"/>
            </w:tcMar>
          </w:tcPr>
          <w:p>
            <w:pPr>
              <w:spacing w:after="0"/>
            </w:pPr>
            <w:r>
              <w:rPr>
                <w:sz w:val="16"/>
              </w:rPr>
              <w:t>Report variability as finding; avoid overclaiming.</w:t>
            </w:r>
          </w:p>
        </w:tc>
      </w:tr>
    </w:tbl>
    <w:p/>
    <w:p>
      <w:pPr>
        <w:pStyle w:val="Heading1"/>
      </w:pPr>
      <w:r>
        <w:t>11. Review Checklist for W4 Approval</w:t>
      </w:r>
    </w:p>
    <w:p>
      <w:r>
        <w:t>The advisor/instructor should be able to approve the following before W5 implementation accelerates:</w:t>
      </w:r>
    </w:p>
    <w:p>
      <w:pPr>
        <w:ind w:left="461" w:hanging="346"/>
      </w:pPr>
      <w:r>
        <w:t xml:space="preserve">1.  </w:t>
      </w:r>
      <w:r>
        <w:t>Component boundaries are clear enough to build without inventing new scope.</w:t>
      </w:r>
    </w:p>
    <w:p>
      <w:pPr>
        <w:ind w:left="461" w:hanging="346"/>
      </w:pPr>
      <w:r>
        <w:t xml:space="preserve">2.  </w:t>
      </w:r>
      <w:r>
        <w:t>Docker-first build order and gVisor fallback are acceptable.</w:t>
      </w:r>
    </w:p>
    <w:p>
      <w:pPr>
        <w:ind w:left="461" w:hanging="346"/>
      </w:pPr>
      <w:r>
        <w:t xml:space="preserve">3.  </w:t>
      </w:r>
      <w:r>
        <w:rPr>
          <w:rFonts w:ascii="Menlo" w:hAnsi="Menlo"/>
          <w:sz w:val="18"/>
        </w:rPr>
        <w:t>POST /execute</w:t>
      </w:r>
      <w:r>
        <w:t xml:space="preserve"> request/response contract is sufficient for tests and demo.</w:t>
      </w:r>
    </w:p>
    <w:p>
      <w:pPr>
        <w:ind w:left="461" w:hanging="346"/>
      </w:pPr>
      <w:r>
        <w:t xml:space="preserve">4.  </w:t>
      </w:r>
      <w:r>
        <w:t>Environment/toolchain plan is reproducible and not overcomplicated.</w:t>
      </w:r>
    </w:p>
    <w:p>
      <w:pPr>
        <w:ind w:left="461" w:hanging="346"/>
      </w:pPr>
      <w:r>
        <w:t xml:space="preserve">5.  </w:t>
      </w:r>
      <w:r>
        <w:t>Adversarial contained-outcome definition is specific enough to prevent post-hoc scoring.</w:t>
      </w:r>
    </w:p>
    <w:p>
      <w:pPr>
        <w:ind w:left="461" w:hanging="346"/>
      </w:pPr>
      <w:r>
        <w:t xml:space="preserve">6.  </w:t>
      </w:r>
      <w:r>
        <w:t>Benchmark protocol is measurable and aligned to the W2/W3 success criteria.</w:t>
      </w:r>
    </w:p>
    <w:p>
      <w:pPr>
        <w:ind w:left="461" w:hanging="346"/>
      </w:pPr>
      <w:r>
        <w:t xml:space="preserve">7.  </w:t>
      </w:r>
      <w:r>
        <w:t>W5 execution target is concrete: first hello-world request through API and Docker backend.</w:t>
      </w:r>
    </w:p>
    <w:p>
      <w:pPr>
        <w:pStyle w:val="Heading1"/>
      </w:pPr>
      <w:r>
        <w:t>12. AI-Use and Academic Integrity Note</w:t>
      </w:r>
    </w:p>
    <w:p>
      <w:r>
        <w:t xml:space="preserve">Codex assisted in drafting this design package, selecting document structure, generating diagrams, and producing the DOCX/PDF artifacts. The student remains responsible for correctness, source verification, final edits, and all implementation decisions. No confidential, personal, FERPA-regulated, HIPAA-regulated, proprietary, or restricted data was provided to the AI tool. This use is logged in </w:t>
      </w:r>
      <w:r>
        <w:rPr>
          <w:rFonts w:ascii="Menlo" w:hAnsi="Menlo"/>
          <w:sz w:val="18"/>
        </w:rPr>
        <w:t>docs/ai-use-log.md</w:t>
      </w:r>
      <w:r>
        <w:t>.</w:t>
      </w:r>
    </w:p>
    <w:p>
      <w:pPr>
        <w:sectPr>
          <w:pgSz w:w="12240" w:h="15840"/>
          <w:pgMar w:top="1440" w:right="1440" w:bottom="1440" w:left="1440" w:header="708" w:footer="708" w:gutter="0"/>
          <w:cols w:space="720"/>
          <w:docGrid w:linePitch="360"/>
        </w:sectPr>
      </w:pPr>
    </w:p>
    <w:p>
      <w:pPr>
        <w:pStyle w:val="Heading1"/>
      </w:pPr>
      <w:r>
        <w:t>References</w:t>
      </w:r>
    </w:p>
    <w:p>
      <w:r>
        <w:t>[1] National Institute of Standards and Technology, Adversarial Machine Learning: A Taxonomy and Terminology of Attacks and Mitigations, NIST AI 100-2 E2025, 2025. https://csrc.nist.gov/pubs/ai/100/2/e2025/final</w:t>
      </w:r>
    </w:p>
    <w:p>
      <w:r>
        <w:t>[2] OWASP Foundation, OWASP Top 10 for Large Language Model Applications. https://owasp.org/www-project-top-10-for-large-language-model-applications/</w:t>
      </w:r>
    </w:p>
    <w:p>
      <w:r>
        <w:t>[3] The gVisor Authors, "Security Model," gVisor Documentation. https://gvisor.dev/docs/architecture_guide/security/</w:t>
      </w:r>
    </w:p>
    <w:p>
      <w:r>
        <w:t>[4] Linux Kernel Documentation, "Seccomp BPF (SECure COMPuting with filters)." https://cdn.kernel.org/doc/html/latest/userspace-api/seccomp_filter.html</w:t>
      </w:r>
    </w:p>
    <w:p>
      <w:r>
        <w:t>[5] E. G. Young et al., "The True Cost of Containing: A gVisor Case Study," USENIX HotCloud '19, 2019. https://www.usenix.org/conference/hotcloud19/presentation/young</w:t>
      </w:r>
    </w:p>
    <w:p>
      <w:r>
        <w:t>[6] C. E. Jimenez et al., "SWE-bench: Can Language Models Resolve Real-World GitHub Issues?," ICLR 2024. https://proceedings.iclr.cc/paper_files/paper/2024/file/edac78c3e300629acfe6cbe9ca88fb84-Paper-Conference.pdf</w:t>
      </w:r>
    </w:p>
    <w:p>
      <w:r>
        <w:t>[7] OpenAI, "HumanEval: Hand-Written Evaluation Set." https://github.com/openai/human-eval</w:t>
      </w:r>
    </w:p>
    <w:p>
      <w:r>
        <w:t>[8] Google Research, "Mostly Basic Python Problems Dataset." https://github.com/google-research/google-research/tree/master/mbpp</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