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A3DF0" w14:textId="694DFF90" w:rsidR="00965C6E" w:rsidRPr="0015101F" w:rsidRDefault="00965C6E" w:rsidP="00965C6E">
      <w:pPr>
        <w:pStyle w:val="NoSpacing"/>
        <w:rPr>
          <w:b/>
          <w:bCs/>
        </w:rPr>
      </w:pPr>
      <w:r w:rsidRPr="0015101F">
        <w:rPr>
          <w:b/>
          <w:bCs/>
        </w:rPr>
        <w:t xml:space="preserve">Statement of Financial Position </w:t>
      </w:r>
    </w:p>
    <w:p w14:paraId="338F7D38" w14:textId="49C52C6E" w:rsidR="00965C6E" w:rsidRPr="0015101F" w:rsidRDefault="00965C6E" w:rsidP="00965C6E">
      <w:pPr>
        <w:pStyle w:val="NoSpacing"/>
        <w:rPr>
          <w:b/>
          <w:bCs/>
        </w:rPr>
      </w:pPr>
      <w:r w:rsidRPr="0015101F">
        <w:rPr>
          <w:b/>
          <w:bCs/>
        </w:rPr>
        <w:t>Long-quiz</w:t>
      </w:r>
      <w:r w:rsidR="00F35650">
        <w:rPr>
          <w:b/>
          <w:bCs/>
        </w:rPr>
        <w:t xml:space="preserve"> </w:t>
      </w:r>
      <w:r w:rsidRPr="0015101F">
        <w:rPr>
          <w:b/>
          <w:bCs/>
        </w:rPr>
        <w:t>1</w:t>
      </w:r>
      <w:r w:rsidR="00F35650">
        <w:rPr>
          <w:b/>
          <w:bCs/>
        </w:rPr>
        <w:t xml:space="preserve"> (2points each)</w:t>
      </w:r>
    </w:p>
    <w:p w14:paraId="29245B78" w14:textId="10B5129C" w:rsidR="00965C6E" w:rsidRDefault="00965C6E" w:rsidP="00950531">
      <w:pPr>
        <w:pStyle w:val="NoSpacing"/>
        <w:numPr>
          <w:ilvl w:val="0"/>
          <w:numId w:val="1"/>
        </w:numPr>
        <w:ind w:left="417"/>
      </w:pPr>
      <w:r>
        <w:t xml:space="preserve"> Which of the following is a non-current liability on December 31, 2023, statement of Financial Position?</w:t>
      </w:r>
    </w:p>
    <w:p w14:paraId="4709D8B3" w14:textId="262AD50E" w:rsidR="00965C6E" w:rsidRDefault="00965C6E" w:rsidP="00950531">
      <w:pPr>
        <w:pStyle w:val="NoSpacing"/>
        <w:numPr>
          <w:ilvl w:val="1"/>
          <w:numId w:val="2"/>
        </w:numPr>
      </w:pPr>
      <w:r>
        <w:t>Bonds payable maturing on March 31, 2024, which were refinanced by issuing 5-year bonds payable in 2024 before issuance of the 2023 financial statements.</w:t>
      </w:r>
    </w:p>
    <w:p w14:paraId="6BFA5914" w14:textId="50CAD568" w:rsidR="00965C6E" w:rsidRDefault="00965C6E" w:rsidP="00965C6E">
      <w:pPr>
        <w:pStyle w:val="NoSpacing"/>
        <w:numPr>
          <w:ilvl w:val="1"/>
          <w:numId w:val="1"/>
        </w:numPr>
      </w:pPr>
      <w:r>
        <w:t>Mortgage note payable due March 15, 2023, which was rolled over in 2022 after the issuance of the 2022 financial statements.</w:t>
      </w:r>
    </w:p>
    <w:p w14:paraId="31603748" w14:textId="67861A35" w:rsidR="00965C6E" w:rsidRPr="00950531" w:rsidRDefault="00965C6E" w:rsidP="00965C6E">
      <w:pPr>
        <w:pStyle w:val="NoSpacing"/>
        <w:numPr>
          <w:ilvl w:val="1"/>
          <w:numId w:val="1"/>
        </w:numPr>
        <w:rPr>
          <w:color w:val="FF0000"/>
        </w:rPr>
      </w:pPr>
      <w:r w:rsidRPr="00950531">
        <w:rPr>
          <w:color w:val="FF0000"/>
        </w:rPr>
        <w:t xml:space="preserve">Mortgage note payable due March 15, 2022, in which the entity as of December 31, </w:t>
      </w:r>
      <w:r w:rsidR="00950531" w:rsidRPr="00950531">
        <w:rPr>
          <w:color w:val="FF0000"/>
        </w:rPr>
        <w:t>2021,</w:t>
      </w:r>
      <w:r w:rsidRPr="00950531">
        <w:rPr>
          <w:color w:val="FF0000"/>
        </w:rPr>
        <w:t xml:space="preserve"> has the discretion and intention to roll over for a period of at least 24 months from the original maturity date.</w:t>
      </w:r>
    </w:p>
    <w:p w14:paraId="237FD4EB" w14:textId="565C1B1F" w:rsidR="00965C6E" w:rsidRDefault="00965C6E" w:rsidP="00965C6E">
      <w:pPr>
        <w:pStyle w:val="NoSpacing"/>
        <w:numPr>
          <w:ilvl w:val="1"/>
          <w:numId w:val="1"/>
        </w:numPr>
      </w:pPr>
      <w:r>
        <w:t>Mortgage note payable due March 15, 2022, which was converted into ordinary shares of the company in 2022 before the issuance of the 2021 financial statements.</w:t>
      </w:r>
    </w:p>
    <w:p w14:paraId="7C46CFF5" w14:textId="63554547" w:rsidR="00965C6E" w:rsidRDefault="00950531" w:rsidP="00965C6E">
      <w:pPr>
        <w:pStyle w:val="NoSpacing"/>
        <w:numPr>
          <w:ilvl w:val="0"/>
          <w:numId w:val="1"/>
        </w:numPr>
      </w:pPr>
      <w:r>
        <w:t>The refinancing of a currently maturing long-term debt on a long-term basis completed on or before the reporting date requires that such debt be classified as a:</w:t>
      </w:r>
    </w:p>
    <w:p w14:paraId="3AD6149C" w14:textId="56CD3F4E" w:rsidR="00950531" w:rsidRDefault="00950531" w:rsidP="00950531">
      <w:pPr>
        <w:pStyle w:val="NoSpacing"/>
        <w:numPr>
          <w:ilvl w:val="1"/>
          <w:numId w:val="1"/>
        </w:numPr>
      </w:pPr>
      <w:r>
        <w:t>Current liability.</w:t>
      </w:r>
    </w:p>
    <w:p w14:paraId="494B1030" w14:textId="54042B63" w:rsidR="00950531" w:rsidRPr="00950531" w:rsidRDefault="00950531" w:rsidP="00950531">
      <w:pPr>
        <w:pStyle w:val="NoSpacing"/>
        <w:numPr>
          <w:ilvl w:val="1"/>
          <w:numId w:val="1"/>
        </w:numPr>
        <w:rPr>
          <w:color w:val="FF0000"/>
        </w:rPr>
      </w:pPr>
      <w:r w:rsidRPr="00950531">
        <w:rPr>
          <w:color w:val="FF0000"/>
        </w:rPr>
        <w:t>Non-current liability.</w:t>
      </w:r>
    </w:p>
    <w:p w14:paraId="32BA09AB" w14:textId="594F9839" w:rsidR="00950531" w:rsidRDefault="00950531" w:rsidP="00950531">
      <w:pPr>
        <w:pStyle w:val="NoSpacing"/>
        <w:numPr>
          <w:ilvl w:val="1"/>
          <w:numId w:val="1"/>
        </w:numPr>
      </w:pPr>
      <w:r>
        <w:t>Current liability or non-current liability, at the option of the debtor.</w:t>
      </w:r>
    </w:p>
    <w:p w14:paraId="5F12D42B" w14:textId="792772E7" w:rsidR="00950531" w:rsidRDefault="00950531" w:rsidP="00950531">
      <w:pPr>
        <w:pStyle w:val="NoSpacing"/>
        <w:numPr>
          <w:ilvl w:val="1"/>
          <w:numId w:val="1"/>
        </w:numPr>
      </w:pPr>
      <w:r>
        <w:t>Non-adjusting event that shall be disclosed in the notes to the financial statements.</w:t>
      </w:r>
    </w:p>
    <w:p w14:paraId="33554392" w14:textId="27E73CD2" w:rsidR="005E71DF" w:rsidRDefault="005E71DF" w:rsidP="00950531">
      <w:pPr>
        <w:pStyle w:val="NoSpacing"/>
        <w:numPr>
          <w:ilvl w:val="0"/>
          <w:numId w:val="1"/>
        </w:numPr>
      </w:pPr>
      <w:r>
        <w:t>All the following statements correctly refer to the provision of PAS 1- Presentation of Financial Statements, except:</w:t>
      </w:r>
    </w:p>
    <w:p w14:paraId="5B644E74" w14:textId="0F9E3B28" w:rsidR="00950531" w:rsidRDefault="005E71DF" w:rsidP="005E71DF">
      <w:pPr>
        <w:pStyle w:val="NoSpacing"/>
        <w:numPr>
          <w:ilvl w:val="1"/>
          <w:numId w:val="1"/>
        </w:numPr>
      </w:pPr>
      <w:r>
        <w:t>The objective of PAS 1 is to prescribe the basis for the presentation of general-purpose financial statements to ensure comparability both with the entity’s financial statements of previous periods and with the financial statements of other entities.</w:t>
      </w:r>
    </w:p>
    <w:p w14:paraId="627D30FD" w14:textId="47BC76ED" w:rsidR="00A52CEF" w:rsidRDefault="00A52CEF" w:rsidP="005E71DF">
      <w:pPr>
        <w:pStyle w:val="NoSpacing"/>
        <w:numPr>
          <w:ilvl w:val="1"/>
          <w:numId w:val="1"/>
        </w:numPr>
      </w:pPr>
      <w:r>
        <w:t>Inappropriate accounting policies are not rectified either by disclosure of the accounting policies used or by notes or explanatory material.</w:t>
      </w:r>
    </w:p>
    <w:p w14:paraId="5259AC86" w14:textId="5793F725" w:rsidR="005E71DF" w:rsidRPr="00A52CEF" w:rsidRDefault="005E71DF" w:rsidP="005E71DF">
      <w:pPr>
        <w:pStyle w:val="NoSpacing"/>
        <w:numPr>
          <w:ilvl w:val="1"/>
          <w:numId w:val="1"/>
        </w:numPr>
        <w:rPr>
          <w:color w:val="FF0000"/>
        </w:rPr>
      </w:pPr>
      <w:r w:rsidRPr="00A52CEF">
        <w:rPr>
          <w:color w:val="FF0000"/>
        </w:rPr>
        <w:t>PAS 1 shall be applied to all-purpose financial statements prepared and presented in accordance with Philippine Financial Reporting Standards.</w:t>
      </w:r>
    </w:p>
    <w:p w14:paraId="3DF0F049" w14:textId="26859F43" w:rsidR="005E71DF" w:rsidRDefault="005E71DF" w:rsidP="005E71DF">
      <w:pPr>
        <w:pStyle w:val="NoSpacing"/>
        <w:numPr>
          <w:ilvl w:val="1"/>
          <w:numId w:val="1"/>
        </w:numPr>
      </w:pPr>
      <w:r>
        <w:t xml:space="preserve">The application of PFRSs, with additional </w:t>
      </w:r>
      <w:r w:rsidR="00A52CEF">
        <w:t>disclosure,</w:t>
      </w:r>
      <w:r>
        <w:t xml:space="preserve"> when necessary, is presumed to result</w:t>
      </w:r>
      <w:r w:rsidR="00A52CEF">
        <w:t xml:space="preserve"> in financial statements that achieve a fair</w:t>
      </w:r>
      <w:r w:rsidR="00F35650">
        <w:t xml:space="preserve"> </w:t>
      </w:r>
      <w:r w:rsidR="00A52CEF">
        <w:t>presentation.</w:t>
      </w:r>
    </w:p>
    <w:p w14:paraId="0D1FCD5C" w14:textId="6AD6CCAA" w:rsidR="00F35650" w:rsidRPr="00F35650" w:rsidRDefault="00F35650" w:rsidP="00F35650">
      <w:pPr>
        <w:pStyle w:val="ListParagraph"/>
        <w:numPr>
          <w:ilvl w:val="0"/>
          <w:numId w:val="1"/>
        </w:numPr>
        <w:spacing w:after="0" w:line="240" w:lineRule="auto"/>
        <w:rPr>
          <w:szCs w:val="21"/>
        </w:rPr>
      </w:pPr>
      <w:r w:rsidRPr="00F35650">
        <w:rPr>
          <w:szCs w:val="21"/>
        </w:rPr>
        <w:t>In which of the following instances would a liability that would otherwise be presented as current is presented as noncurrent?</w:t>
      </w:r>
    </w:p>
    <w:p w14:paraId="1815FAB2" w14:textId="4F305996" w:rsidR="00F35650" w:rsidRPr="000D071D" w:rsidRDefault="00F35650" w:rsidP="00F35650">
      <w:pPr>
        <w:numPr>
          <w:ilvl w:val="0"/>
          <w:numId w:val="5"/>
        </w:numPr>
        <w:spacing w:after="0" w:line="240" w:lineRule="auto"/>
        <w:rPr>
          <w:szCs w:val="21"/>
        </w:rPr>
      </w:pPr>
      <w:r w:rsidRPr="000D071D">
        <w:rPr>
          <w:szCs w:val="21"/>
        </w:rPr>
        <w:t xml:space="preserve">The liability is payable on </w:t>
      </w:r>
      <w:r w:rsidR="00EF5616" w:rsidRPr="000D071D">
        <w:rPr>
          <w:szCs w:val="21"/>
        </w:rPr>
        <w:t>demand,</w:t>
      </w:r>
      <w:r w:rsidRPr="000D071D">
        <w:rPr>
          <w:szCs w:val="21"/>
        </w:rPr>
        <w:t xml:space="preserve"> but the entity estimates that it is probable that the lender will not demand payment within 12 months after the reporting period.</w:t>
      </w:r>
    </w:p>
    <w:p w14:paraId="1E3F41F4" w14:textId="68833713" w:rsidR="00F35650" w:rsidRPr="000D071D" w:rsidRDefault="00F35650" w:rsidP="00F35650">
      <w:pPr>
        <w:numPr>
          <w:ilvl w:val="0"/>
          <w:numId w:val="5"/>
        </w:numPr>
        <w:spacing w:after="0" w:line="240" w:lineRule="auto"/>
        <w:rPr>
          <w:szCs w:val="21"/>
        </w:rPr>
      </w:pPr>
      <w:r w:rsidRPr="000D071D">
        <w:rPr>
          <w:szCs w:val="21"/>
        </w:rPr>
        <w:t xml:space="preserve">The liability is payable on </w:t>
      </w:r>
      <w:r w:rsidR="00EF5616" w:rsidRPr="000D071D">
        <w:rPr>
          <w:szCs w:val="21"/>
        </w:rPr>
        <w:t>demand,</w:t>
      </w:r>
      <w:r w:rsidRPr="000D071D">
        <w:rPr>
          <w:szCs w:val="21"/>
        </w:rPr>
        <w:t xml:space="preserve"> but the lender promises the entity after the reporting period that the lender will not demand payment in the next 12 months.</w:t>
      </w:r>
    </w:p>
    <w:p w14:paraId="7BD1E575" w14:textId="77777777" w:rsidR="00F35650" w:rsidRPr="000D071D" w:rsidRDefault="00F35650" w:rsidP="00F35650">
      <w:pPr>
        <w:numPr>
          <w:ilvl w:val="0"/>
          <w:numId w:val="5"/>
        </w:numPr>
        <w:spacing w:after="0" w:line="240" w:lineRule="auto"/>
        <w:rPr>
          <w:szCs w:val="21"/>
        </w:rPr>
      </w:pPr>
      <w:r w:rsidRPr="000D071D">
        <w:rPr>
          <w:szCs w:val="21"/>
        </w:rPr>
        <w:t>The entity enters into a refinancing agreement after the reporting period but before the financial statements are authorized for issue.</w:t>
      </w:r>
    </w:p>
    <w:p w14:paraId="3E5CC612" w14:textId="77777777" w:rsidR="00F35650" w:rsidRPr="00820092" w:rsidRDefault="00F35650" w:rsidP="00F35650">
      <w:pPr>
        <w:numPr>
          <w:ilvl w:val="0"/>
          <w:numId w:val="5"/>
        </w:numPr>
        <w:spacing w:after="0" w:line="240" w:lineRule="auto"/>
        <w:rPr>
          <w:szCs w:val="21"/>
          <w:highlight w:val="yellow"/>
        </w:rPr>
      </w:pPr>
      <w:r w:rsidRPr="00820092">
        <w:rPr>
          <w:szCs w:val="21"/>
          <w:highlight w:val="yellow"/>
        </w:rPr>
        <w:lastRenderedPageBreak/>
        <w:t>The entity enters into a refinancing agreement and the refinancing agreement is completed by the balance sheet date.</w:t>
      </w:r>
    </w:p>
    <w:p w14:paraId="38A6C984" w14:textId="77777777" w:rsidR="00F35650" w:rsidRDefault="00F35650" w:rsidP="00F35650">
      <w:pPr>
        <w:pStyle w:val="NoSpacing"/>
        <w:ind w:left="720"/>
      </w:pPr>
    </w:p>
    <w:p w14:paraId="7D5C9D1B" w14:textId="734BA932" w:rsidR="00A52CEF" w:rsidRDefault="00A52CEF" w:rsidP="00A52CEF">
      <w:pPr>
        <w:pStyle w:val="NoSpacing"/>
        <w:numPr>
          <w:ilvl w:val="0"/>
          <w:numId w:val="1"/>
        </w:numPr>
      </w:pPr>
      <w:r>
        <w:t>The following data are made available for the purpose of stating the financial position of Day, Inc. on December 31, 2023:</w:t>
      </w:r>
    </w:p>
    <w:p w14:paraId="684D426E" w14:textId="43D34B57" w:rsidR="00A52CEF" w:rsidRDefault="00A52CEF" w:rsidP="00A52CEF">
      <w:pPr>
        <w:pStyle w:val="NoSpacing"/>
        <w:ind w:left="1440"/>
      </w:pPr>
      <w:r>
        <w:t>Cash, including sinking fund of P5,000,000 with trustee</w:t>
      </w:r>
      <w:r>
        <w:tab/>
        <w:t>P20,000,000</w:t>
      </w:r>
    </w:p>
    <w:p w14:paraId="7CD316BC" w14:textId="26659E81" w:rsidR="00A52CEF" w:rsidRDefault="00A52CEF" w:rsidP="00A52CEF">
      <w:pPr>
        <w:pStyle w:val="NoSpacing"/>
        <w:ind w:left="1440"/>
      </w:pPr>
      <w:r>
        <w:t>Notes receivable (including P2,000,000 of notes pledged</w:t>
      </w:r>
    </w:p>
    <w:p w14:paraId="4886414C" w14:textId="7D5E6744" w:rsidR="00A52CEF" w:rsidRDefault="00A52CEF" w:rsidP="00A52CEF">
      <w:pPr>
        <w:pStyle w:val="NoSpacing"/>
        <w:ind w:left="1440"/>
      </w:pPr>
      <w:r>
        <w:t xml:space="preserve">    </w:t>
      </w:r>
      <w:r w:rsidR="001C5245">
        <w:t xml:space="preserve"> with KLM Bank)</w:t>
      </w:r>
      <w:r w:rsidR="001C5245">
        <w:tab/>
      </w:r>
      <w:r w:rsidR="001C5245">
        <w:tab/>
      </w:r>
      <w:r w:rsidR="001C5245">
        <w:tab/>
      </w:r>
      <w:r w:rsidR="001C5245">
        <w:tab/>
      </w:r>
      <w:r w:rsidR="001C5245">
        <w:tab/>
      </w:r>
      <w:r w:rsidR="00F35650">
        <w:tab/>
        <w:t xml:space="preserve"> 12,000,000</w:t>
      </w:r>
    </w:p>
    <w:p w14:paraId="71F1C056" w14:textId="12548D7C" w:rsidR="001C5245" w:rsidRDefault="001C5245" w:rsidP="00A52CEF">
      <w:pPr>
        <w:pStyle w:val="NoSpacing"/>
        <w:ind w:left="1440"/>
      </w:pPr>
      <w:r>
        <w:t xml:space="preserve">Accounts receivable, net of allowance for </w:t>
      </w:r>
    </w:p>
    <w:p w14:paraId="41F290C8" w14:textId="59ABD8C3" w:rsidR="001C5245" w:rsidRDefault="001C5245" w:rsidP="00A52CEF">
      <w:pPr>
        <w:pStyle w:val="NoSpacing"/>
        <w:ind w:left="1440"/>
      </w:pPr>
      <w:r>
        <w:t xml:space="preserve">     expected credit losses</w:t>
      </w:r>
      <w:r>
        <w:tab/>
      </w:r>
      <w:r>
        <w:tab/>
      </w:r>
      <w:r>
        <w:tab/>
      </w:r>
      <w:r>
        <w:tab/>
      </w:r>
      <w:r>
        <w:tab/>
        <w:t xml:space="preserve">    7,900,000</w:t>
      </w:r>
    </w:p>
    <w:p w14:paraId="2643A99A" w14:textId="10DE859B" w:rsidR="001C5245" w:rsidRDefault="001C5245" w:rsidP="00A52CEF">
      <w:pPr>
        <w:pStyle w:val="NoSpacing"/>
        <w:ind w:left="1440"/>
      </w:pPr>
      <w:r>
        <w:t xml:space="preserve">Inventory, including P6,000,000 cost of goods sold in </w:t>
      </w:r>
    </w:p>
    <w:p w14:paraId="0F336C59" w14:textId="1A800137" w:rsidR="001C5245" w:rsidRDefault="001C5245" w:rsidP="00A52CEF">
      <w:pPr>
        <w:pStyle w:val="NoSpacing"/>
        <w:ind w:left="1440"/>
      </w:pPr>
      <w:r>
        <w:t xml:space="preserve">   transit purchased FOB destination and P5,000,000</w:t>
      </w:r>
    </w:p>
    <w:p w14:paraId="1E8F2FB8" w14:textId="72EBC483" w:rsidR="001C5245" w:rsidRDefault="001C5245" w:rsidP="00A52CEF">
      <w:pPr>
        <w:pStyle w:val="NoSpacing"/>
        <w:ind w:left="1440"/>
      </w:pPr>
      <w:r>
        <w:t xml:space="preserve">   cost of goods in transit purchased FOB shipping point.</w:t>
      </w:r>
    </w:p>
    <w:p w14:paraId="559714AA" w14:textId="15860E9D" w:rsidR="001C5245" w:rsidRDefault="001C5245" w:rsidP="00A52CEF">
      <w:pPr>
        <w:pStyle w:val="NoSpacing"/>
        <w:ind w:left="1440"/>
      </w:pPr>
      <w:r>
        <w:t xml:space="preserve">   Both goods were received January 3, 2024.</w:t>
      </w:r>
      <w:r>
        <w:tab/>
      </w:r>
      <w:r>
        <w:tab/>
        <w:t>28,000,000</w:t>
      </w:r>
    </w:p>
    <w:p w14:paraId="27C1ABAB" w14:textId="5FEB4DBF" w:rsidR="001C5245" w:rsidRDefault="001C5245" w:rsidP="001C5245">
      <w:pPr>
        <w:pStyle w:val="NoSpacing"/>
      </w:pPr>
      <w:r>
        <w:tab/>
        <w:t xml:space="preserve">How much current assets should be shown in the statement of financial position </w:t>
      </w:r>
      <w:r w:rsidR="00F35650">
        <w:t>on</w:t>
      </w:r>
      <w:r>
        <w:t xml:space="preserve"> </w:t>
      </w:r>
      <w:r>
        <w:tab/>
      </w:r>
      <w:r>
        <w:tab/>
        <w:t>December 31, 2023?</w:t>
      </w:r>
    </w:p>
    <w:p w14:paraId="0A883539" w14:textId="0989CB38" w:rsidR="001C5245" w:rsidRPr="00093B63" w:rsidRDefault="001C5245" w:rsidP="001C5245">
      <w:pPr>
        <w:pStyle w:val="NoSpacing"/>
        <w:numPr>
          <w:ilvl w:val="2"/>
          <w:numId w:val="2"/>
        </w:numPr>
        <w:rPr>
          <w:color w:val="FF0000"/>
        </w:rPr>
      </w:pPr>
      <w:r w:rsidRPr="00093B63">
        <w:rPr>
          <w:color w:val="FF0000"/>
        </w:rPr>
        <w:t>P56,900,000</w:t>
      </w:r>
    </w:p>
    <w:p w14:paraId="3E8E9C23" w14:textId="6B721F05" w:rsidR="001C5245" w:rsidRDefault="001C5245" w:rsidP="001C5245">
      <w:pPr>
        <w:pStyle w:val="NoSpacing"/>
        <w:numPr>
          <w:ilvl w:val="2"/>
          <w:numId w:val="2"/>
        </w:numPr>
      </w:pPr>
      <w:r>
        <w:t>P58,900,000</w:t>
      </w:r>
    </w:p>
    <w:p w14:paraId="37884E75" w14:textId="49BA991F" w:rsidR="001C5245" w:rsidRDefault="001C5245" w:rsidP="001C5245">
      <w:pPr>
        <w:pStyle w:val="NoSpacing"/>
        <w:numPr>
          <w:ilvl w:val="2"/>
          <w:numId w:val="2"/>
        </w:numPr>
      </w:pPr>
      <w:r>
        <w:t>P61,900,000</w:t>
      </w:r>
    </w:p>
    <w:p w14:paraId="57CB45F6" w14:textId="3E6BE7DF" w:rsidR="001C5245" w:rsidRDefault="001C5245" w:rsidP="001C5245">
      <w:pPr>
        <w:pStyle w:val="NoSpacing"/>
        <w:numPr>
          <w:ilvl w:val="2"/>
          <w:numId w:val="2"/>
        </w:numPr>
      </w:pPr>
      <w:r>
        <w:t>P67,900,000</w:t>
      </w:r>
    </w:p>
    <w:tbl>
      <w:tblPr>
        <w:tblStyle w:val="TableGrid"/>
        <w:tblW w:w="8928" w:type="dxa"/>
        <w:tblInd w:w="5" w:type="dxa"/>
        <w:tblCellMar>
          <w:top w:w="9" w:type="dxa"/>
          <w:left w:w="106" w:type="dxa"/>
          <w:right w:w="115" w:type="dxa"/>
        </w:tblCellMar>
        <w:tblLook w:val="04A0" w:firstRow="1" w:lastRow="0" w:firstColumn="1" w:lastColumn="0" w:noHBand="0" w:noVBand="1"/>
      </w:tblPr>
      <w:tblGrid>
        <w:gridCol w:w="492"/>
        <w:gridCol w:w="8436"/>
      </w:tblGrid>
      <w:tr w:rsidR="00093B63" w14:paraId="599550AA" w14:textId="77777777" w:rsidTr="004823E4">
        <w:trPr>
          <w:trHeight w:val="240"/>
        </w:trPr>
        <w:tc>
          <w:tcPr>
            <w:tcW w:w="446" w:type="dxa"/>
            <w:tcBorders>
              <w:top w:val="single" w:sz="4" w:space="0" w:color="000000"/>
              <w:left w:val="single" w:sz="4" w:space="0" w:color="000000"/>
              <w:bottom w:val="single" w:sz="4" w:space="0" w:color="000000"/>
              <w:right w:val="single" w:sz="4" w:space="0" w:color="000000"/>
            </w:tcBorders>
          </w:tcPr>
          <w:p w14:paraId="5B00C9DF" w14:textId="77777777" w:rsidR="00093B63" w:rsidRDefault="00093B63" w:rsidP="004823E4">
            <w:pPr>
              <w:spacing w:after="0" w:line="259" w:lineRule="auto"/>
              <w:ind w:left="0" w:firstLine="0"/>
              <w:jc w:val="left"/>
            </w:pPr>
            <w:r>
              <w:t xml:space="preserve">A </w:t>
            </w:r>
          </w:p>
        </w:tc>
        <w:tc>
          <w:tcPr>
            <w:tcW w:w="7651" w:type="dxa"/>
            <w:tcBorders>
              <w:top w:val="single" w:sz="4" w:space="0" w:color="000000"/>
              <w:left w:val="single" w:sz="4" w:space="0" w:color="000000"/>
              <w:bottom w:val="single" w:sz="4" w:space="0" w:color="000000"/>
              <w:right w:val="single" w:sz="4" w:space="0" w:color="000000"/>
            </w:tcBorders>
          </w:tcPr>
          <w:p w14:paraId="484D53D1" w14:textId="77777777" w:rsidR="00093B63" w:rsidRDefault="00093B63" w:rsidP="004823E4">
            <w:pPr>
              <w:spacing w:after="0" w:line="259" w:lineRule="auto"/>
              <w:ind w:left="5" w:firstLine="0"/>
              <w:jc w:val="left"/>
            </w:pPr>
            <w:r>
              <w:t xml:space="preserve">(20M – 5M) + 12M + 7.9M + (28M - 6M) = 56.9M </w:t>
            </w:r>
          </w:p>
        </w:tc>
      </w:tr>
    </w:tbl>
    <w:p w14:paraId="15407309" w14:textId="77777777" w:rsidR="00093B63" w:rsidRDefault="00093B63" w:rsidP="00093B63">
      <w:pPr>
        <w:pStyle w:val="NoSpacing"/>
        <w:ind w:left="2340"/>
      </w:pPr>
    </w:p>
    <w:p w14:paraId="00D1D2C8" w14:textId="37E97681" w:rsidR="00093B63" w:rsidRDefault="00093B63" w:rsidP="00093B63">
      <w:pPr>
        <w:pStyle w:val="NoSpacing"/>
        <w:numPr>
          <w:ilvl w:val="0"/>
          <w:numId w:val="1"/>
        </w:numPr>
      </w:pPr>
      <w:r>
        <w:t xml:space="preserve"> Donald Company was incorporated on July1, 2022, with P2,000,000 from the issuance of shares and borrowed fund of P300,000.  During the remainder of 2022, the company’s profit was P100,000.  On December 15, Donald Company paid P8,000 cash dividends.  No additional activities affected owner’s equity in 2022.  </w:t>
      </w:r>
      <w:proofErr w:type="gramStart"/>
      <w:r>
        <w:t>At</w:t>
      </w:r>
      <w:proofErr w:type="gramEnd"/>
      <w:r>
        <w:t xml:space="preserve"> December 31, 2022, Donald Company’s liabilities increased to P376,000. </w:t>
      </w:r>
    </w:p>
    <w:p w14:paraId="05E20C0E" w14:textId="740DCDD9" w:rsidR="00093B63" w:rsidRDefault="00093B63" w:rsidP="00093B63">
      <w:pPr>
        <w:pStyle w:val="NoSpacing"/>
        <w:ind w:left="720"/>
      </w:pPr>
      <w:r>
        <w:t>In Donald’s December 31, 2022, statement of financial position, total assets should be reported at:</w:t>
      </w:r>
    </w:p>
    <w:p w14:paraId="7AE11AEA" w14:textId="6C2B482E" w:rsidR="00093B63" w:rsidRDefault="00093B63" w:rsidP="00093B63">
      <w:pPr>
        <w:pStyle w:val="NoSpacing"/>
        <w:numPr>
          <w:ilvl w:val="1"/>
          <w:numId w:val="1"/>
        </w:numPr>
      </w:pPr>
      <w:r>
        <w:t>P2,392,000</w:t>
      </w:r>
    </w:p>
    <w:p w14:paraId="7B630CFF" w14:textId="3C902663" w:rsidR="00093B63" w:rsidRDefault="00093B63" w:rsidP="00093B63">
      <w:pPr>
        <w:pStyle w:val="NoSpacing"/>
        <w:numPr>
          <w:ilvl w:val="1"/>
          <w:numId w:val="1"/>
        </w:numPr>
      </w:pPr>
      <w:r>
        <w:t>P2,400,000</w:t>
      </w:r>
    </w:p>
    <w:p w14:paraId="609BBA19" w14:textId="7193B698" w:rsidR="00093B63" w:rsidRPr="00283C80" w:rsidRDefault="00093B63" w:rsidP="00093B63">
      <w:pPr>
        <w:pStyle w:val="NoSpacing"/>
        <w:numPr>
          <w:ilvl w:val="1"/>
          <w:numId w:val="1"/>
        </w:numPr>
      </w:pPr>
      <w:r w:rsidRPr="00283C80">
        <w:t>P2,768,000</w:t>
      </w:r>
    </w:p>
    <w:p w14:paraId="4A57797B" w14:textId="49018059" w:rsidR="00093B63" w:rsidRPr="00283C80" w:rsidRDefault="00093B63" w:rsidP="00093B63">
      <w:pPr>
        <w:pStyle w:val="NoSpacing"/>
        <w:numPr>
          <w:ilvl w:val="1"/>
          <w:numId w:val="1"/>
        </w:numPr>
        <w:rPr>
          <w:color w:val="C00000"/>
        </w:rPr>
      </w:pPr>
      <w:r w:rsidRPr="00283C80">
        <w:rPr>
          <w:color w:val="C00000"/>
        </w:rPr>
        <w:t>P2,468,000</w:t>
      </w:r>
    </w:p>
    <w:p w14:paraId="41E3567F" w14:textId="77777777" w:rsidR="00093B63" w:rsidRPr="00283C80" w:rsidRDefault="00093B63" w:rsidP="00093B63">
      <w:pPr>
        <w:pStyle w:val="NoSpacing"/>
        <w:ind w:left="720"/>
        <w:rPr>
          <w:color w:val="C00000"/>
        </w:rPr>
      </w:pPr>
    </w:p>
    <w:tbl>
      <w:tblPr>
        <w:tblStyle w:val="TableGrid"/>
        <w:tblW w:w="8928" w:type="dxa"/>
        <w:tblInd w:w="5" w:type="dxa"/>
        <w:tblCellMar>
          <w:top w:w="9" w:type="dxa"/>
          <w:left w:w="106" w:type="dxa"/>
          <w:right w:w="115" w:type="dxa"/>
        </w:tblCellMar>
        <w:tblLook w:val="04A0" w:firstRow="1" w:lastRow="0" w:firstColumn="1" w:lastColumn="0" w:noHBand="0" w:noVBand="1"/>
      </w:tblPr>
      <w:tblGrid>
        <w:gridCol w:w="492"/>
        <w:gridCol w:w="8436"/>
      </w:tblGrid>
      <w:tr w:rsidR="00283C80" w14:paraId="15810511" w14:textId="77777777" w:rsidTr="004823E4">
        <w:trPr>
          <w:trHeight w:val="240"/>
        </w:trPr>
        <w:tc>
          <w:tcPr>
            <w:tcW w:w="446" w:type="dxa"/>
            <w:tcBorders>
              <w:top w:val="single" w:sz="4" w:space="0" w:color="000000"/>
              <w:left w:val="single" w:sz="4" w:space="0" w:color="000000"/>
              <w:bottom w:val="single" w:sz="4" w:space="0" w:color="000000"/>
              <w:right w:val="single" w:sz="4" w:space="0" w:color="000000"/>
            </w:tcBorders>
          </w:tcPr>
          <w:p w14:paraId="6276F5AA" w14:textId="3E488524" w:rsidR="00283C80" w:rsidRDefault="00283C80" w:rsidP="004823E4">
            <w:pPr>
              <w:spacing w:after="0" w:line="259" w:lineRule="auto"/>
              <w:ind w:left="0" w:firstLine="0"/>
              <w:jc w:val="left"/>
            </w:pPr>
            <w:r>
              <w:t xml:space="preserve">D </w:t>
            </w:r>
          </w:p>
        </w:tc>
        <w:tc>
          <w:tcPr>
            <w:tcW w:w="7651" w:type="dxa"/>
            <w:tcBorders>
              <w:top w:val="single" w:sz="4" w:space="0" w:color="000000"/>
              <w:left w:val="single" w:sz="4" w:space="0" w:color="000000"/>
              <w:bottom w:val="single" w:sz="4" w:space="0" w:color="000000"/>
              <w:right w:val="single" w:sz="4" w:space="0" w:color="000000"/>
            </w:tcBorders>
          </w:tcPr>
          <w:p w14:paraId="08BB538D" w14:textId="77777777" w:rsidR="00283C80" w:rsidRDefault="00283C80" w:rsidP="004823E4">
            <w:pPr>
              <w:spacing w:after="0" w:line="259" w:lineRule="auto"/>
              <w:ind w:left="5" w:firstLine="0"/>
              <w:jc w:val="left"/>
            </w:pPr>
            <w:r>
              <w:t xml:space="preserve">2,000,000 + 100,000 – 8,000 = 2,092,000+ 376,000 = 2,468,000 </w:t>
            </w:r>
          </w:p>
        </w:tc>
      </w:tr>
    </w:tbl>
    <w:p w14:paraId="7562B40A" w14:textId="19A84F9C" w:rsidR="00093B63" w:rsidRDefault="0015101F" w:rsidP="0015101F">
      <w:pPr>
        <w:pStyle w:val="NoSpacing"/>
        <w:numPr>
          <w:ilvl w:val="0"/>
          <w:numId w:val="1"/>
        </w:numPr>
      </w:pPr>
      <w:r>
        <w:t xml:space="preserve">May Company had the following liabilities </w:t>
      </w:r>
      <w:proofErr w:type="gramStart"/>
      <w:r>
        <w:t>at</w:t>
      </w:r>
      <w:proofErr w:type="gramEnd"/>
      <w:r>
        <w:t xml:space="preserve"> December 31, 2022:</w:t>
      </w:r>
    </w:p>
    <w:p w14:paraId="1C630630" w14:textId="77777777" w:rsidR="0015101F" w:rsidRDefault="0015101F" w:rsidP="0015101F">
      <w:pPr>
        <w:pStyle w:val="NoSpacing"/>
        <w:ind w:left="720"/>
      </w:pPr>
      <w:r>
        <w:t xml:space="preserve">Trade accounts payable, net of debit balances totaling </w:t>
      </w:r>
    </w:p>
    <w:p w14:paraId="7BF5E7C1" w14:textId="22D6CF4A" w:rsidR="0015101F" w:rsidRDefault="0015101F" w:rsidP="0015101F">
      <w:pPr>
        <w:pStyle w:val="NoSpacing"/>
        <w:ind w:left="720"/>
      </w:pPr>
      <w:r>
        <w:t xml:space="preserve">   P65,000 in supplier’s accounts</w:t>
      </w:r>
      <w:r>
        <w:tab/>
      </w:r>
      <w:r>
        <w:tab/>
      </w:r>
      <w:r>
        <w:tab/>
      </w:r>
      <w:r>
        <w:tab/>
        <w:t>P1,125,000</w:t>
      </w:r>
    </w:p>
    <w:p w14:paraId="1C45F04C" w14:textId="77777777" w:rsidR="0015101F" w:rsidRDefault="0015101F" w:rsidP="0015101F">
      <w:pPr>
        <w:pStyle w:val="NoSpacing"/>
        <w:ind w:left="720"/>
      </w:pPr>
      <w:r>
        <w:t>Accrued expenses</w:t>
      </w:r>
      <w:r>
        <w:tab/>
      </w:r>
      <w:r>
        <w:tab/>
      </w:r>
      <w:r>
        <w:tab/>
      </w:r>
      <w:r>
        <w:tab/>
      </w:r>
      <w:r>
        <w:tab/>
      </w:r>
      <w:r>
        <w:tab/>
        <w:t xml:space="preserve">        136,000</w:t>
      </w:r>
    </w:p>
    <w:p w14:paraId="5F3DBF4E" w14:textId="77777777" w:rsidR="0015101F" w:rsidRDefault="0015101F" w:rsidP="0015101F">
      <w:pPr>
        <w:pStyle w:val="NoSpacing"/>
        <w:ind w:left="720"/>
      </w:pPr>
      <w:r>
        <w:t>Interest payable</w:t>
      </w:r>
      <w:r>
        <w:tab/>
      </w:r>
      <w:r>
        <w:tab/>
      </w:r>
      <w:r>
        <w:tab/>
      </w:r>
      <w:r>
        <w:tab/>
      </w:r>
      <w:r>
        <w:tab/>
      </w:r>
      <w:r>
        <w:tab/>
        <w:t xml:space="preserve">           96,000</w:t>
      </w:r>
    </w:p>
    <w:p w14:paraId="3EA487D1" w14:textId="77777777" w:rsidR="0015101F" w:rsidRDefault="0015101F" w:rsidP="0015101F">
      <w:pPr>
        <w:pStyle w:val="NoSpacing"/>
        <w:ind w:left="720"/>
      </w:pPr>
      <w:r>
        <w:t>Income tax payable</w:t>
      </w:r>
      <w:r>
        <w:tab/>
      </w:r>
      <w:r>
        <w:tab/>
      </w:r>
      <w:r>
        <w:tab/>
      </w:r>
      <w:r>
        <w:tab/>
      </w:r>
      <w:r>
        <w:tab/>
      </w:r>
      <w:r>
        <w:tab/>
        <w:t xml:space="preserve">         150,000</w:t>
      </w:r>
    </w:p>
    <w:p w14:paraId="05304414" w14:textId="77777777" w:rsidR="0015101F" w:rsidRDefault="0015101F" w:rsidP="0015101F">
      <w:pPr>
        <w:pStyle w:val="NoSpacing"/>
        <w:ind w:left="720"/>
      </w:pPr>
      <w:r>
        <w:t>Mortgage payable due in equal annual installments</w:t>
      </w:r>
    </w:p>
    <w:p w14:paraId="621527D4" w14:textId="7BABCF55" w:rsidR="0015101F" w:rsidRDefault="0015101F" w:rsidP="0015101F">
      <w:pPr>
        <w:pStyle w:val="NoSpacing"/>
        <w:ind w:left="720"/>
      </w:pPr>
      <w:r>
        <w:t xml:space="preserve">   Until October 31, </w:t>
      </w:r>
      <w:r w:rsidR="001D5EEA">
        <w:t>2027,</w:t>
      </w:r>
      <w:r>
        <w:tab/>
      </w:r>
      <w:r>
        <w:tab/>
      </w:r>
      <w:r>
        <w:tab/>
      </w:r>
      <w:r>
        <w:tab/>
      </w:r>
      <w:r>
        <w:tab/>
        <w:t xml:space="preserve">         750,000</w:t>
      </w:r>
    </w:p>
    <w:p w14:paraId="7BD92703" w14:textId="7BFD2A0F" w:rsidR="0015101F" w:rsidRDefault="0015101F" w:rsidP="0015101F">
      <w:pPr>
        <w:pStyle w:val="NoSpacing"/>
        <w:ind w:left="720"/>
      </w:pPr>
      <w:r>
        <w:t>Share dividends declared but not yet issued</w:t>
      </w:r>
      <w:r>
        <w:tab/>
      </w:r>
      <w:r>
        <w:tab/>
        <w:t xml:space="preserve">          300,000</w:t>
      </w:r>
    </w:p>
    <w:p w14:paraId="4B502FB9" w14:textId="54BD7C8D" w:rsidR="0015101F" w:rsidRDefault="0015101F" w:rsidP="0015101F">
      <w:pPr>
        <w:pStyle w:val="NoSpacing"/>
        <w:ind w:left="720"/>
      </w:pPr>
      <w:r>
        <w:lastRenderedPageBreak/>
        <w:t xml:space="preserve">Claims for </w:t>
      </w:r>
      <w:proofErr w:type="gramStart"/>
      <w:r>
        <w:t>he</w:t>
      </w:r>
      <w:proofErr w:type="gramEnd"/>
      <w:r>
        <w:t xml:space="preserve"> unclaimed wages by employees of</w:t>
      </w:r>
    </w:p>
    <w:p w14:paraId="73ED379E" w14:textId="4B5D195D" w:rsidR="0015101F" w:rsidRDefault="0015101F" w:rsidP="0015101F">
      <w:pPr>
        <w:pStyle w:val="NoSpacing"/>
        <w:ind w:left="720"/>
      </w:pPr>
      <w:r>
        <w:t xml:space="preserve">   The company covered in a pending lawsuit (not yet</w:t>
      </w:r>
    </w:p>
    <w:p w14:paraId="7F29106D" w14:textId="1780C646" w:rsidR="0015101F" w:rsidRDefault="0015101F" w:rsidP="0015101F">
      <w:pPr>
        <w:pStyle w:val="NoSpacing"/>
        <w:ind w:left="720"/>
      </w:pPr>
      <w:r>
        <w:t xml:space="preserve">   Considered to be probable)</w:t>
      </w:r>
      <w:r>
        <w:tab/>
      </w:r>
      <w:r>
        <w:tab/>
      </w:r>
      <w:r>
        <w:tab/>
      </w:r>
      <w:r>
        <w:tab/>
        <w:t xml:space="preserve">          250,000</w:t>
      </w:r>
    </w:p>
    <w:p w14:paraId="25D16743" w14:textId="744B733A" w:rsidR="0015101F" w:rsidRDefault="0015101F" w:rsidP="0015101F">
      <w:pPr>
        <w:pStyle w:val="NoSpacing"/>
      </w:pPr>
      <w:r>
        <w:tab/>
        <w:t>How much is the total current liabilities of May Company to be shown</w:t>
      </w:r>
      <w:r w:rsidR="001D5EEA">
        <w:t xml:space="preserve"> on its </w:t>
      </w:r>
    </w:p>
    <w:p w14:paraId="793234E2" w14:textId="3DE67ABB" w:rsidR="001D5EEA" w:rsidRDefault="001D5EEA" w:rsidP="0015101F">
      <w:pPr>
        <w:pStyle w:val="NoSpacing"/>
      </w:pPr>
      <w:r>
        <w:tab/>
        <w:t>December 31, 2022, statement of financial position?</w:t>
      </w:r>
    </w:p>
    <w:p w14:paraId="29785DF9" w14:textId="08B7C5C5" w:rsidR="001D5EEA" w:rsidRDefault="001D5EEA" w:rsidP="001D5EEA">
      <w:pPr>
        <w:pStyle w:val="NoSpacing"/>
        <w:numPr>
          <w:ilvl w:val="1"/>
          <w:numId w:val="1"/>
        </w:numPr>
      </w:pPr>
      <w:r>
        <w:t xml:space="preserve"> P1,272,000</w:t>
      </w:r>
    </w:p>
    <w:p w14:paraId="405EB998" w14:textId="3B58AE5D" w:rsidR="001D5EEA" w:rsidRPr="00417381" w:rsidRDefault="001D5EEA" w:rsidP="001D5EEA">
      <w:pPr>
        <w:pStyle w:val="NoSpacing"/>
        <w:numPr>
          <w:ilvl w:val="1"/>
          <w:numId w:val="1"/>
        </w:numPr>
        <w:rPr>
          <w:color w:val="FF0000"/>
        </w:rPr>
      </w:pPr>
      <w:r w:rsidRPr="00417381">
        <w:rPr>
          <w:color w:val="FF0000"/>
        </w:rPr>
        <w:t>P1,722,000</w:t>
      </w:r>
    </w:p>
    <w:p w14:paraId="527B9B66" w14:textId="59102219" w:rsidR="001D5EEA" w:rsidRDefault="001D5EEA" w:rsidP="001D5EEA">
      <w:pPr>
        <w:pStyle w:val="NoSpacing"/>
        <w:numPr>
          <w:ilvl w:val="1"/>
          <w:numId w:val="1"/>
        </w:numPr>
      </w:pPr>
      <w:r>
        <w:t xml:space="preserve"> P2,022,000</w:t>
      </w:r>
    </w:p>
    <w:p w14:paraId="1BA03881" w14:textId="5DDEA85E" w:rsidR="001D5EEA" w:rsidRDefault="001D5EEA" w:rsidP="001D5EEA">
      <w:pPr>
        <w:pStyle w:val="NoSpacing"/>
        <w:numPr>
          <w:ilvl w:val="1"/>
          <w:numId w:val="1"/>
        </w:numPr>
      </w:pPr>
      <w:r>
        <w:t>P2,207,000</w:t>
      </w:r>
    </w:p>
    <w:p w14:paraId="043296AC" w14:textId="77777777" w:rsidR="001D5EEA" w:rsidRDefault="001D5EEA" w:rsidP="001D5EEA">
      <w:pPr>
        <w:pStyle w:val="NoSpacing"/>
        <w:ind w:left="2203"/>
      </w:pPr>
    </w:p>
    <w:tbl>
      <w:tblPr>
        <w:tblStyle w:val="TableGrid1"/>
        <w:tblW w:w="8928" w:type="dxa"/>
        <w:tblInd w:w="5" w:type="dxa"/>
        <w:tblCellMar>
          <w:top w:w="9" w:type="dxa"/>
          <w:left w:w="106" w:type="dxa"/>
          <w:bottom w:w="0" w:type="dxa"/>
          <w:right w:w="115" w:type="dxa"/>
        </w:tblCellMar>
        <w:tblLook w:val="04A0" w:firstRow="1" w:lastRow="0" w:firstColumn="1" w:lastColumn="0" w:noHBand="0" w:noVBand="1"/>
      </w:tblPr>
      <w:tblGrid>
        <w:gridCol w:w="492"/>
        <w:gridCol w:w="8436"/>
      </w:tblGrid>
      <w:tr w:rsidR="001D5EEA" w:rsidRPr="001D5EEA" w14:paraId="546BF201" w14:textId="77777777" w:rsidTr="00475CEE">
        <w:trPr>
          <w:trHeight w:val="240"/>
        </w:trPr>
        <w:tc>
          <w:tcPr>
            <w:tcW w:w="446" w:type="dxa"/>
            <w:tcBorders>
              <w:top w:val="single" w:sz="4" w:space="0" w:color="000000"/>
              <w:left w:val="single" w:sz="4" w:space="0" w:color="000000"/>
              <w:bottom w:val="single" w:sz="4" w:space="0" w:color="000000"/>
              <w:right w:val="single" w:sz="4" w:space="0" w:color="000000"/>
            </w:tcBorders>
          </w:tcPr>
          <w:p w14:paraId="1FA1F6F7" w14:textId="77777777" w:rsidR="001D5EEA" w:rsidRPr="001D5EEA" w:rsidRDefault="001D5EEA" w:rsidP="001D5EEA">
            <w:pPr>
              <w:spacing w:after="0" w:line="259" w:lineRule="auto"/>
              <w:ind w:left="0" w:firstLine="0"/>
              <w:jc w:val="left"/>
            </w:pPr>
            <w:r w:rsidRPr="001D5EEA">
              <w:t xml:space="preserve">B </w:t>
            </w:r>
          </w:p>
        </w:tc>
        <w:tc>
          <w:tcPr>
            <w:tcW w:w="7651" w:type="dxa"/>
            <w:tcBorders>
              <w:top w:val="single" w:sz="4" w:space="0" w:color="000000"/>
              <w:left w:val="single" w:sz="4" w:space="0" w:color="000000"/>
              <w:bottom w:val="single" w:sz="4" w:space="0" w:color="000000"/>
              <w:right w:val="single" w:sz="4" w:space="0" w:color="000000"/>
            </w:tcBorders>
          </w:tcPr>
          <w:p w14:paraId="238C3221" w14:textId="77777777" w:rsidR="001D5EEA" w:rsidRPr="001D5EEA" w:rsidRDefault="001D5EEA" w:rsidP="001D5EEA">
            <w:pPr>
              <w:spacing w:after="0" w:line="259" w:lineRule="auto"/>
              <w:ind w:left="5" w:firstLine="0"/>
              <w:jc w:val="left"/>
            </w:pPr>
            <w:r w:rsidRPr="001D5EEA">
              <w:t>(1,125,000+65,000) + 136,000 + 96,000 + 150,000 + (750,000/</w:t>
            </w:r>
            <w:proofErr w:type="gramStart"/>
            <w:r w:rsidRPr="001D5EEA">
              <w:t>5)=</w:t>
            </w:r>
            <w:proofErr w:type="gramEnd"/>
            <w:r w:rsidRPr="001D5EEA">
              <w:t xml:space="preserve">1,722,000 </w:t>
            </w:r>
          </w:p>
        </w:tc>
      </w:tr>
    </w:tbl>
    <w:p w14:paraId="71B07FA7" w14:textId="77777777" w:rsidR="001D5EEA" w:rsidRDefault="001D5EEA" w:rsidP="0015101F">
      <w:pPr>
        <w:pStyle w:val="NoSpacing"/>
      </w:pPr>
    </w:p>
    <w:p w14:paraId="29CCF7EB" w14:textId="1BF9D27D" w:rsidR="0015101F" w:rsidRDefault="006D16A5" w:rsidP="0015101F">
      <w:pPr>
        <w:pStyle w:val="NoSpacing"/>
        <w:numPr>
          <w:ilvl w:val="0"/>
          <w:numId w:val="1"/>
        </w:numPr>
      </w:pPr>
      <w:r>
        <w:t xml:space="preserve">The trial balance of Fay Company, a publicly listed company </w:t>
      </w:r>
      <w:proofErr w:type="gramStart"/>
      <w:r>
        <w:t>at</w:t>
      </w:r>
      <w:proofErr w:type="gramEnd"/>
      <w:r>
        <w:t xml:space="preserve"> December 31, 2022has been adjusted except for income tax expense, as follows:</w:t>
      </w:r>
    </w:p>
    <w:p w14:paraId="46A31925" w14:textId="3F2CA5A1" w:rsidR="006D16A5" w:rsidRDefault="006D16A5" w:rsidP="006D16A5">
      <w:pPr>
        <w:pStyle w:val="NoSpacing"/>
        <w:ind w:left="2880"/>
      </w:pPr>
      <w:r>
        <w:t>Fay Company</w:t>
      </w:r>
    </w:p>
    <w:p w14:paraId="21405325" w14:textId="7B6B9745" w:rsidR="006D16A5" w:rsidRDefault="006D16A5" w:rsidP="006D16A5">
      <w:pPr>
        <w:pStyle w:val="NoSpacing"/>
        <w:ind w:left="2880"/>
      </w:pPr>
      <w:r>
        <w:t xml:space="preserve"> Trial Balance</w:t>
      </w:r>
    </w:p>
    <w:p w14:paraId="698CE615" w14:textId="7B46DF5E" w:rsidR="006D16A5" w:rsidRDefault="006D16A5" w:rsidP="006D16A5">
      <w:pPr>
        <w:pStyle w:val="NoSpacing"/>
      </w:pPr>
      <w:r>
        <w:t xml:space="preserve">                                                      December 31. 2022</w:t>
      </w:r>
    </w:p>
    <w:p w14:paraId="77F05E44" w14:textId="77777777" w:rsidR="006D16A5" w:rsidRDefault="006D16A5" w:rsidP="006D16A5">
      <w:pPr>
        <w:pStyle w:val="NoSpacing"/>
      </w:pPr>
    </w:p>
    <w:p w14:paraId="2620FC83" w14:textId="17330CB8" w:rsidR="006D16A5" w:rsidRDefault="006D16A5" w:rsidP="006D16A5">
      <w:pPr>
        <w:pStyle w:val="NoSpacing"/>
      </w:pPr>
      <w:r>
        <w:tab/>
      </w:r>
      <w:r>
        <w:tab/>
      </w:r>
      <w:r>
        <w:tab/>
      </w:r>
      <w:r>
        <w:tab/>
      </w:r>
      <w:r>
        <w:tab/>
      </w:r>
      <w:r>
        <w:tab/>
      </w:r>
      <w:r>
        <w:tab/>
      </w:r>
      <w:r>
        <w:tab/>
      </w:r>
      <w:r>
        <w:tab/>
        <w:t>Debit</w:t>
      </w:r>
      <w:r>
        <w:tab/>
      </w:r>
      <w:r>
        <w:tab/>
        <w:t>Credit</w:t>
      </w:r>
    </w:p>
    <w:p w14:paraId="4F8D4443" w14:textId="43E24233" w:rsidR="006D16A5" w:rsidRDefault="006D16A5" w:rsidP="006D16A5">
      <w:pPr>
        <w:pStyle w:val="NoSpacing"/>
      </w:pPr>
      <w:r>
        <w:tab/>
        <w:t>Cash</w:t>
      </w:r>
      <w:r>
        <w:tab/>
      </w:r>
      <w:r>
        <w:tab/>
      </w:r>
      <w:r>
        <w:tab/>
      </w:r>
      <w:r>
        <w:tab/>
      </w:r>
      <w:r>
        <w:tab/>
      </w:r>
      <w:r>
        <w:tab/>
      </w:r>
      <w:r>
        <w:tab/>
        <w:t>P      675,000</w:t>
      </w:r>
    </w:p>
    <w:p w14:paraId="13722ADF" w14:textId="04FEC170" w:rsidR="006D16A5" w:rsidRDefault="006D16A5" w:rsidP="006D16A5">
      <w:pPr>
        <w:pStyle w:val="NoSpacing"/>
      </w:pPr>
      <w:r>
        <w:tab/>
        <w:t>Accounts Receivable</w:t>
      </w:r>
      <w:r>
        <w:tab/>
      </w:r>
      <w:r>
        <w:tab/>
      </w:r>
      <w:r>
        <w:tab/>
      </w:r>
      <w:r>
        <w:tab/>
        <w:t xml:space="preserve">     2,695,000</w:t>
      </w:r>
    </w:p>
    <w:p w14:paraId="56855CFA" w14:textId="3FB81664" w:rsidR="006D16A5" w:rsidRDefault="006D16A5" w:rsidP="006D16A5">
      <w:pPr>
        <w:pStyle w:val="NoSpacing"/>
      </w:pPr>
      <w:r>
        <w:tab/>
        <w:t>Inventory</w:t>
      </w:r>
      <w:r>
        <w:tab/>
      </w:r>
      <w:r>
        <w:tab/>
      </w:r>
      <w:r>
        <w:tab/>
      </w:r>
      <w:r>
        <w:tab/>
      </w:r>
      <w:r>
        <w:tab/>
      </w:r>
      <w:r>
        <w:tab/>
        <w:t xml:space="preserve">     2,185,000</w:t>
      </w:r>
    </w:p>
    <w:p w14:paraId="7164B426" w14:textId="2C681ED9" w:rsidR="006D16A5" w:rsidRDefault="006D16A5" w:rsidP="006D16A5">
      <w:pPr>
        <w:pStyle w:val="NoSpacing"/>
      </w:pPr>
      <w:r>
        <w:tab/>
        <w:t>Property, Plant &amp; Equipment (net)</w:t>
      </w:r>
      <w:r>
        <w:tab/>
      </w:r>
      <w:r>
        <w:tab/>
      </w:r>
      <w:r>
        <w:tab/>
        <w:t xml:space="preserve">     7,366,000</w:t>
      </w:r>
    </w:p>
    <w:p w14:paraId="54D74804" w14:textId="6D808769" w:rsidR="006D16A5" w:rsidRDefault="006D16A5" w:rsidP="006D16A5">
      <w:pPr>
        <w:pStyle w:val="NoSpacing"/>
      </w:pPr>
      <w:r>
        <w:tab/>
        <w:t>Trade and other payables</w:t>
      </w:r>
      <w:r>
        <w:tab/>
      </w:r>
      <w:r>
        <w:tab/>
      </w:r>
      <w:r>
        <w:tab/>
      </w:r>
      <w:r>
        <w:tab/>
      </w:r>
      <w:r>
        <w:tab/>
      </w:r>
      <w:r>
        <w:tab/>
        <w:t xml:space="preserve">     P 1,801,000</w:t>
      </w:r>
    </w:p>
    <w:p w14:paraId="442A0C6D" w14:textId="1158EC2B" w:rsidR="006D16A5" w:rsidRDefault="006D16A5" w:rsidP="006D16A5">
      <w:pPr>
        <w:pStyle w:val="NoSpacing"/>
      </w:pPr>
      <w:r>
        <w:tab/>
        <w:t>Income tax payable</w:t>
      </w:r>
      <w:r>
        <w:tab/>
      </w:r>
      <w:r>
        <w:tab/>
      </w:r>
      <w:r>
        <w:tab/>
      </w:r>
      <w:r>
        <w:tab/>
      </w:r>
      <w:r>
        <w:tab/>
      </w:r>
      <w:r>
        <w:tab/>
      </w:r>
      <w:r>
        <w:tab/>
        <w:t xml:space="preserve">             654,000</w:t>
      </w:r>
    </w:p>
    <w:p w14:paraId="213A11A3" w14:textId="17C81313" w:rsidR="006D16A5" w:rsidRDefault="006D16A5" w:rsidP="006D16A5">
      <w:pPr>
        <w:pStyle w:val="NoSpacing"/>
      </w:pPr>
      <w:r>
        <w:tab/>
        <w:t>Deferred income tax liability</w:t>
      </w:r>
      <w:r>
        <w:tab/>
      </w:r>
      <w:r>
        <w:tab/>
      </w:r>
      <w:r>
        <w:tab/>
      </w:r>
      <w:r>
        <w:tab/>
      </w:r>
      <w:r>
        <w:tab/>
        <w:t xml:space="preserve">                85,000</w:t>
      </w:r>
    </w:p>
    <w:p w14:paraId="1FBE6F94" w14:textId="77777777" w:rsidR="00B667BA" w:rsidRDefault="006D16A5" w:rsidP="006D16A5">
      <w:pPr>
        <w:pStyle w:val="NoSpacing"/>
      </w:pPr>
      <w:r>
        <w:tab/>
        <w:t>Ordinary share</w:t>
      </w:r>
      <w:r w:rsidR="00B667BA">
        <w:tab/>
      </w:r>
      <w:r w:rsidR="00B667BA">
        <w:tab/>
      </w:r>
      <w:r w:rsidR="00B667BA">
        <w:tab/>
      </w:r>
      <w:r w:rsidR="00B667BA">
        <w:tab/>
      </w:r>
      <w:r w:rsidR="00B667BA">
        <w:tab/>
      </w:r>
      <w:r w:rsidR="00B667BA">
        <w:tab/>
      </w:r>
      <w:r w:rsidR="00B667BA">
        <w:tab/>
        <w:t xml:space="preserve">          2,300,000</w:t>
      </w:r>
    </w:p>
    <w:p w14:paraId="0E57B737" w14:textId="77777777" w:rsidR="00B667BA" w:rsidRDefault="00B667BA" w:rsidP="006D16A5">
      <w:pPr>
        <w:pStyle w:val="NoSpacing"/>
      </w:pPr>
      <w:r>
        <w:tab/>
        <w:t>Premium on ordinary shares</w:t>
      </w:r>
      <w:r>
        <w:tab/>
      </w:r>
      <w:r>
        <w:tab/>
      </w:r>
      <w:r>
        <w:tab/>
      </w:r>
      <w:r>
        <w:tab/>
      </w:r>
      <w:r>
        <w:tab/>
        <w:t xml:space="preserve">           3,680,000</w:t>
      </w:r>
    </w:p>
    <w:p w14:paraId="17314556" w14:textId="68E089D5" w:rsidR="00B667BA" w:rsidRDefault="00B667BA" w:rsidP="006D16A5">
      <w:pPr>
        <w:pStyle w:val="NoSpacing"/>
      </w:pPr>
      <w:r>
        <w:tab/>
        <w:t>Retained Earnings, Jan 1, 2022,</w:t>
      </w:r>
      <w:r>
        <w:tab/>
      </w:r>
      <w:r>
        <w:tab/>
      </w:r>
      <w:r>
        <w:tab/>
      </w:r>
      <w:r>
        <w:tab/>
      </w:r>
      <w:r>
        <w:tab/>
        <w:t xml:space="preserve">           3,350,000</w:t>
      </w:r>
    </w:p>
    <w:p w14:paraId="2EFE2820" w14:textId="245B4821" w:rsidR="00B667BA" w:rsidRDefault="00B667BA" w:rsidP="006D16A5">
      <w:pPr>
        <w:pStyle w:val="NoSpacing"/>
      </w:pPr>
      <w:r>
        <w:tab/>
        <w:t>Net sales and other revenues</w:t>
      </w:r>
      <w:r>
        <w:tab/>
      </w:r>
      <w:r>
        <w:tab/>
      </w:r>
      <w:r>
        <w:tab/>
      </w:r>
      <w:r>
        <w:tab/>
      </w:r>
      <w:r>
        <w:tab/>
        <w:t xml:space="preserve">         13,360,000</w:t>
      </w:r>
      <w:r>
        <w:tab/>
      </w:r>
      <w:r>
        <w:tab/>
        <w:t>Cost and expenses</w:t>
      </w:r>
      <w:r>
        <w:tab/>
      </w:r>
      <w:r>
        <w:tab/>
      </w:r>
      <w:r>
        <w:tab/>
      </w:r>
      <w:r>
        <w:tab/>
      </w:r>
      <w:r>
        <w:tab/>
      </w:r>
      <w:r w:rsidR="00FC06C6">
        <w:t xml:space="preserve"> </w:t>
      </w:r>
      <w:r>
        <w:t>11,180,000</w:t>
      </w:r>
    </w:p>
    <w:p w14:paraId="3B830CC3" w14:textId="6884DA9E" w:rsidR="00FC06C6" w:rsidRDefault="00B667BA" w:rsidP="00FC06C6">
      <w:pPr>
        <w:pStyle w:val="NoSpacing"/>
      </w:pPr>
      <w:r>
        <w:tab/>
        <w:t>Income tax expense</w:t>
      </w:r>
      <w:r>
        <w:tab/>
      </w:r>
      <w:r>
        <w:tab/>
      </w:r>
      <w:r>
        <w:tab/>
      </w:r>
      <w:r>
        <w:tab/>
      </w:r>
      <w:r w:rsidR="00FC06C6">
        <w:t xml:space="preserve">            </w:t>
      </w:r>
      <w:r w:rsidR="00FC06C6" w:rsidRPr="00FC06C6">
        <w:rPr>
          <w:u w:val="single"/>
        </w:rPr>
        <w:t xml:space="preserve">   </w:t>
      </w:r>
      <w:r w:rsidRPr="00FC06C6">
        <w:rPr>
          <w:u w:val="single"/>
        </w:rPr>
        <w:t xml:space="preserve"> </w:t>
      </w:r>
      <w:r w:rsidR="00FC06C6" w:rsidRPr="00FC06C6">
        <w:rPr>
          <w:u w:val="single"/>
        </w:rPr>
        <w:t xml:space="preserve"> </w:t>
      </w:r>
      <w:r w:rsidRPr="00FC06C6">
        <w:rPr>
          <w:u w:val="single"/>
        </w:rPr>
        <w:t xml:space="preserve">  1,129,000</w:t>
      </w:r>
      <w:r w:rsidR="00FC06C6">
        <w:rPr>
          <w:u w:val="single"/>
        </w:rPr>
        <w:t xml:space="preserve">        </w:t>
      </w:r>
      <w:r w:rsidR="00FC06C6">
        <w:t xml:space="preserve">                                             </w:t>
      </w:r>
      <w:r w:rsidR="00FC06C6">
        <w:tab/>
      </w:r>
      <w:r w:rsidR="00FC06C6">
        <w:tab/>
      </w:r>
      <w:r w:rsidR="00FC06C6">
        <w:tab/>
      </w:r>
      <w:r w:rsidR="00FC06C6">
        <w:tab/>
        <w:t xml:space="preserve">                                                         </w:t>
      </w:r>
      <w:r w:rsidR="00FC06C6" w:rsidRPr="00FC06C6">
        <w:rPr>
          <w:u w:val="double"/>
        </w:rPr>
        <w:t>P 25,230,000</w:t>
      </w:r>
      <w:r w:rsidR="00FC06C6">
        <w:tab/>
        <w:t xml:space="preserve">    </w:t>
      </w:r>
      <w:r w:rsidR="00FC06C6" w:rsidRPr="00FC06C6">
        <w:rPr>
          <w:u w:val="double"/>
        </w:rPr>
        <w:t>P 25,230.000</w:t>
      </w:r>
      <w:r>
        <w:tab/>
      </w:r>
      <w:r w:rsidR="00FC06C6">
        <w:tab/>
        <w:t>Other data for the year ended December 31, 2022, follows:</w:t>
      </w:r>
    </w:p>
    <w:p w14:paraId="1A808EE6" w14:textId="77777777" w:rsidR="00FF7BF5" w:rsidRDefault="00FC06C6" w:rsidP="00FF7BF5">
      <w:pPr>
        <w:pStyle w:val="NoSpacing"/>
        <w:ind w:left="720"/>
      </w:pPr>
      <w:r>
        <w:t>Included in accounts receivable is P1,000,000 due from customer from sale of land</w:t>
      </w:r>
      <w:r w:rsidR="00FF7BF5">
        <w:t xml:space="preserve"> and building previously owned by the company and payable in quarterly installment of P125,000.  The last payment is due December 30, 2024.</w:t>
      </w:r>
    </w:p>
    <w:p w14:paraId="38E35ABB" w14:textId="77777777" w:rsidR="00FF7BF5" w:rsidRDefault="00FF7BF5" w:rsidP="00FF7BF5">
      <w:pPr>
        <w:pStyle w:val="NoSpacing"/>
        <w:ind w:left="720"/>
      </w:pPr>
      <w:r>
        <w:t>The balance in deferred income tax liability pertains to a temporary difference that arose in a prior year, of which P15,000 is expected to reverse in 2023.</w:t>
      </w:r>
    </w:p>
    <w:p w14:paraId="23CC444C" w14:textId="77777777" w:rsidR="002760CF" w:rsidRDefault="00FF7BF5" w:rsidP="00FF7BF5">
      <w:pPr>
        <w:pStyle w:val="NoSpacing"/>
        <w:ind w:left="720"/>
      </w:pPr>
      <w:r>
        <w:t xml:space="preserve">During the year, tax payments of P475,000 were charged to income tax expense.  </w:t>
      </w:r>
      <w:r w:rsidR="002760CF">
        <w:t>The income tax rate on all types of income is 30%.</w:t>
      </w:r>
    </w:p>
    <w:p w14:paraId="344FF3AF" w14:textId="47ACD2B1" w:rsidR="002760CF" w:rsidRDefault="002760CF" w:rsidP="00FF7BF5">
      <w:pPr>
        <w:pStyle w:val="NoSpacing"/>
        <w:ind w:left="720"/>
      </w:pPr>
      <w:r>
        <w:t>The total current assets in Fay’s December 31, 2022, statement of financial position is</w:t>
      </w:r>
    </w:p>
    <w:p w14:paraId="08394BFE" w14:textId="77777777" w:rsidR="002760CF" w:rsidRDefault="002760CF" w:rsidP="002760CF">
      <w:pPr>
        <w:pStyle w:val="NoSpacing"/>
        <w:numPr>
          <w:ilvl w:val="1"/>
          <w:numId w:val="1"/>
        </w:numPr>
      </w:pPr>
      <w:r>
        <w:t>P6,030,000</w:t>
      </w:r>
    </w:p>
    <w:p w14:paraId="64AED6C8" w14:textId="77777777" w:rsidR="002760CF" w:rsidRDefault="002760CF" w:rsidP="002760CF">
      <w:pPr>
        <w:pStyle w:val="NoSpacing"/>
        <w:numPr>
          <w:ilvl w:val="1"/>
          <w:numId w:val="1"/>
        </w:numPr>
      </w:pPr>
      <w:r>
        <w:lastRenderedPageBreak/>
        <w:t>P5,555,000</w:t>
      </w:r>
    </w:p>
    <w:p w14:paraId="78BD54F0" w14:textId="77777777" w:rsidR="002760CF" w:rsidRDefault="002760CF" w:rsidP="002760CF">
      <w:pPr>
        <w:pStyle w:val="NoSpacing"/>
        <w:numPr>
          <w:ilvl w:val="1"/>
          <w:numId w:val="1"/>
        </w:numPr>
      </w:pPr>
      <w:r>
        <w:t>P5,530,000</w:t>
      </w:r>
    </w:p>
    <w:p w14:paraId="530FD3CC" w14:textId="77777777" w:rsidR="005C2A01" w:rsidRPr="00417381" w:rsidRDefault="002760CF" w:rsidP="002760CF">
      <w:pPr>
        <w:pStyle w:val="NoSpacing"/>
        <w:numPr>
          <w:ilvl w:val="1"/>
          <w:numId w:val="1"/>
        </w:numPr>
        <w:rPr>
          <w:color w:val="FF0000"/>
        </w:rPr>
      </w:pPr>
      <w:r w:rsidRPr="00417381">
        <w:rPr>
          <w:color w:val="FF0000"/>
        </w:rPr>
        <w:t>P5,055,000</w:t>
      </w:r>
      <w:r w:rsidR="00B667BA" w:rsidRPr="00417381">
        <w:rPr>
          <w:color w:val="FF0000"/>
        </w:rPr>
        <w:tab/>
      </w:r>
    </w:p>
    <w:tbl>
      <w:tblPr>
        <w:tblStyle w:val="TableGrid2"/>
        <w:tblW w:w="8928" w:type="dxa"/>
        <w:tblInd w:w="5" w:type="dxa"/>
        <w:tblCellMar>
          <w:top w:w="9" w:type="dxa"/>
          <w:left w:w="106" w:type="dxa"/>
          <w:bottom w:w="0" w:type="dxa"/>
          <w:right w:w="115" w:type="dxa"/>
        </w:tblCellMar>
        <w:tblLook w:val="04A0" w:firstRow="1" w:lastRow="0" w:firstColumn="1" w:lastColumn="0" w:noHBand="0" w:noVBand="1"/>
      </w:tblPr>
      <w:tblGrid>
        <w:gridCol w:w="492"/>
        <w:gridCol w:w="8436"/>
      </w:tblGrid>
      <w:tr w:rsidR="005C2A01" w:rsidRPr="005C2A01" w14:paraId="695E2732" w14:textId="77777777" w:rsidTr="00475CEE">
        <w:trPr>
          <w:trHeight w:val="240"/>
        </w:trPr>
        <w:tc>
          <w:tcPr>
            <w:tcW w:w="446" w:type="dxa"/>
            <w:tcBorders>
              <w:top w:val="single" w:sz="4" w:space="0" w:color="000000"/>
              <w:left w:val="single" w:sz="4" w:space="0" w:color="000000"/>
              <w:bottom w:val="single" w:sz="4" w:space="0" w:color="000000"/>
              <w:right w:val="single" w:sz="4" w:space="0" w:color="000000"/>
            </w:tcBorders>
          </w:tcPr>
          <w:p w14:paraId="213D2E00" w14:textId="77777777" w:rsidR="005C2A01" w:rsidRPr="005C2A01" w:rsidRDefault="005C2A01" w:rsidP="005C2A01">
            <w:pPr>
              <w:spacing w:after="0" w:line="259" w:lineRule="auto"/>
              <w:ind w:left="0" w:firstLine="0"/>
              <w:jc w:val="left"/>
            </w:pPr>
            <w:r w:rsidRPr="005C2A01">
              <w:t xml:space="preserve">D </w:t>
            </w:r>
          </w:p>
        </w:tc>
        <w:tc>
          <w:tcPr>
            <w:tcW w:w="7651" w:type="dxa"/>
            <w:tcBorders>
              <w:top w:val="single" w:sz="4" w:space="0" w:color="000000"/>
              <w:left w:val="single" w:sz="4" w:space="0" w:color="000000"/>
              <w:bottom w:val="single" w:sz="4" w:space="0" w:color="000000"/>
              <w:right w:val="single" w:sz="4" w:space="0" w:color="000000"/>
            </w:tcBorders>
          </w:tcPr>
          <w:p w14:paraId="431A7743" w14:textId="77777777" w:rsidR="005C2A01" w:rsidRPr="005C2A01" w:rsidRDefault="005C2A01" w:rsidP="005C2A01">
            <w:pPr>
              <w:spacing w:after="0" w:line="259" w:lineRule="auto"/>
              <w:ind w:left="5" w:firstLine="0"/>
              <w:jc w:val="left"/>
            </w:pPr>
            <w:r w:rsidRPr="005C2A01">
              <w:t xml:space="preserve">675,000 + (2,695,000 – 500,000) + 2,185,000 = 5,055,000 </w:t>
            </w:r>
          </w:p>
        </w:tc>
      </w:tr>
    </w:tbl>
    <w:p w14:paraId="6BFFC83B" w14:textId="77777777" w:rsidR="005C2A01" w:rsidRDefault="005C2A01" w:rsidP="005C2A01">
      <w:pPr>
        <w:pStyle w:val="NoSpacing"/>
        <w:ind w:left="720"/>
      </w:pPr>
    </w:p>
    <w:p w14:paraId="3465B66A" w14:textId="2287D16F" w:rsidR="006D16A5" w:rsidRDefault="00525731" w:rsidP="0015101F">
      <w:pPr>
        <w:pStyle w:val="NoSpacing"/>
        <w:numPr>
          <w:ilvl w:val="0"/>
          <w:numId w:val="1"/>
        </w:numPr>
      </w:pPr>
      <w:r>
        <w:t>Using information of Fay Company, compute the total</w:t>
      </w:r>
      <w:r w:rsidR="00897E28">
        <w:t xml:space="preserve"> non-</w:t>
      </w:r>
      <w:r>
        <w:t xml:space="preserve"> current </w:t>
      </w:r>
      <w:r w:rsidR="00897E28">
        <w:t>assets</w:t>
      </w:r>
      <w:r>
        <w:t xml:space="preserve"> in Fay’s December 31, 2022, statement of financial position.</w:t>
      </w:r>
      <w:r w:rsidR="00897E28">
        <w:t>’</w:t>
      </w:r>
    </w:p>
    <w:p w14:paraId="289ABF98" w14:textId="7322BF0B" w:rsidR="00897E28" w:rsidRPr="00417381" w:rsidRDefault="00897E28" w:rsidP="00897E28">
      <w:pPr>
        <w:pStyle w:val="NoSpacing"/>
        <w:numPr>
          <w:ilvl w:val="1"/>
          <w:numId w:val="1"/>
        </w:numPr>
        <w:rPr>
          <w:color w:val="FF0000"/>
        </w:rPr>
      </w:pPr>
      <w:r w:rsidRPr="00417381">
        <w:rPr>
          <w:color w:val="FF0000"/>
        </w:rPr>
        <w:t>P1,980,000</w:t>
      </w:r>
    </w:p>
    <w:p w14:paraId="2A333CD4" w14:textId="59D4CC70" w:rsidR="00897E28" w:rsidRDefault="00897E28" w:rsidP="00897E28">
      <w:pPr>
        <w:pStyle w:val="NoSpacing"/>
        <w:numPr>
          <w:ilvl w:val="1"/>
          <w:numId w:val="1"/>
        </w:numPr>
      </w:pPr>
      <w:r>
        <w:t>P2,455,000</w:t>
      </w:r>
    </w:p>
    <w:p w14:paraId="3552C82B" w14:textId="5EAD4155" w:rsidR="00897E28" w:rsidRDefault="00897E28" w:rsidP="00897E28">
      <w:pPr>
        <w:pStyle w:val="NoSpacing"/>
        <w:numPr>
          <w:ilvl w:val="1"/>
          <w:numId w:val="1"/>
        </w:numPr>
      </w:pPr>
      <w:r>
        <w:t>P2</w:t>
      </w:r>
      <w:r w:rsidR="005C2A01">
        <w:t>,579,000</w:t>
      </w:r>
    </w:p>
    <w:p w14:paraId="0D0B28D8" w14:textId="77777777" w:rsidR="00417381" w:rsidRDefault="00897E28" w:rsidP="00897E28">
      <w:pPr>
        <w:pStyle w:val="NoSpacing"/>
        <w:numPr>
          <w:ilvl w:val="1"/>
          <w:numId w:val="1"/>
        </w:numPr>
      </w:pPr>
      <w:r>
        <w:t>P</w:t>
      </w:r>
      <w:r w:rsidR="005C2A01">
        <w:t>2,649,000</w:t>
      </w:r>
    </w:p>
    <w:tbl>
      <w:tblPr>
        <w:tblStyle w:val="TableGrid3"/>
        <w:tblW w:w="8928" w:type="dxa"/>
        <w:tblInd w:w="5" w:type="dxa"/>
        <w:tblCellMar>
          <w:top w:w="9" w:type="dxa"/>
          <w:left w:w="106" w:type="dxa"/>
          <w:bottom w:w="0" w:type="dxa"/>
          <w:right w:w="115" w:type="dxa"/>
        </w:tblCellMar>
        <w:tblLook w:val="04A0" w:firstRow="1" w:lastRow="0" w:firstColumn="1" w:lastColumn="0" w:noHBand="0" w:noVBand="1"/>
      </w:tblPr>
      <w:tblGrid>
        <w:gridCol w:w="492"/>
        <w:gridCol w:w="8436"/>
      </w:tblGrid>
      <w:tr w:rsidR="00417381" w:rsidRPr="00417381" w14:paraId="2966B415" w14:textId="77777777" w:rsidTr="00475CEE">
        <w:trPr>
          <w:trHeight w:val="240"/>
        </w:trPr>
        <w:tc>
          <w:tcPr>
            <w:tcW w:w="446" w:type="dxa"/>
            <w:tcBorders>
              <w:top w:val="single" w:sz="4" w:space="0" w:color="000000"/>
              <w:left w:val="single" w:sz="4" w:space="0" w:color="000000"/>
              <w:bottom w:val="single" w:sz="4" w:space="0" w:color="000000"/>
              <w:right w:val="single" w:sz="4" w:space="0" w:color="000000"/>
            </w:tcBorders>
          </w:tcPr>
          <w:p w14:paraId="002AABA2" w14:textId="77777777" w:rsidR="00417381" w:rsidRPr="00417381" w:rsidRDefault="00417381" w:rsidP="00417381">
            <w:pPr>
              <w:spacing w:after="0" w:line="259" w:lineRule="auto"/>
              <w:ind w:left="0" w:firstLine="0"/>
              <w:jc w:val="left"/>
            </w:pPr>
            <w:r w:rsidRPr="00417381">
              <w:t xml:space="preserve">A </w:t>
            </w:r>
          </w:p>
        </w:tc>
        <w:tc>
          <w:tcPr>
            <w:tcW w:w="7651" w:type="dxa"/>
            <w:tcBorders>
              <w:top w:val="single" w:sz="4" w:space="0" w:color="000000"/>
              <w:left w:val="single" w:sz="4" w:space="0" w:color="000000"/>
              <w:bottom w:val="single" w:sz="4" w:space="0" w:color="000000"/>
              <w:right w:val="single" w:sz="4" w:space="0" w:color="000000"/>
            </w:tcBorders>
          </w:tcPr>
          <w:p w14:paraId="00070C12" w14:textId="77777777" w:rsidR="00417381" w:rsidRPr="00417381" w:rsidRDefault="00417381" w:rsidP="00417381">
            <w:pPr>
              <w:spacing w:after="0" w:line="259" w:lineRule="auto"/>
              <w:ind w:left="5" w:firstLine="0"/>
              <w:jc w:val="left"/>
            </w:pPr>
            <w:r w:rsidRPr="00417381">
              <w:t xml:space="preserve">1,801,000 + (654,000 – 475,000) = 1,980,000 </w:t>
            </w:r>
          </w:p>
        </w:tc>
      </w:tr>
    </w:tbl>
    <w:p w14:paraId="764C2D6E" w14:textId="77777777" w:rsidR="00417381" w:rsidRDefault="00417381" w:rsidP="00417381">
      <w:pPr>
        <w:pStyle w:val="NoSpacing"/>
        <w:ind w:left="2203"/>
      </w:pPr>
    </w:p>
    <w:p w14:paraId="0A692328" w14:textId="489C3FBC" w:rsidR="00525731" w:rsidRDefault="00525731" w:rsidP="0015101F">
      <w:pPr>
        <w:pStyle w:val="NoSpacing"/>
        <w:numPr>
          <w:ilvl w:val="0"/>
          <w:numId w:val="1"/>
        </w:numPr>
      </w:pPr>
      <w:r>
        <w:t>Using information of Fay Company, compute the retained earnings balance in Fay</w:t>
      </w:r>
      <w:r w:rsidR="005C2A01">
        <w:t>’s December 31, 2022, statement of financial position.</w:t>
      </w:r>
    </w:p>
    <w:p w14:paraId="6F864471" w14:textId="6E084AF8" w:rsidR="005C2A01" w:rsidRDefault="005C2A01" w:rsidP="005C2A01">
      <w:pPr>
        <w:pStyle w:val="NoSpacing"/>
        <w:numPr>
          <w:ilvl w:val="1"/>
          <w:numId w:val="1"/>
        </w:numPr>
      </w:pPr>
      <w:r>
        <w:t>P4,401,000</w:t>
      </w:r>
    </w:p>
    <w:p w14:paraId="25E2C641" w14:textId="409CCC44" w:rsidR="005C2A01" w:rsidRDefault="005C2A01" w:rsidP="005C2A01">
      <w:pPr>
        <w:pStyle w:val="NoSpacing"/>
        <w:numPr>
          <w:ilvl w:val="1"/>
          <w:numId w:val="1"/>
        </w:numPr>
      </w:pPr>
      <w:r>
        <w:t>P4,486,000</w:t>
      </w:r>
    </w:p>
    <w:p w14:paraId="683188ED" w14:textId="65531913" w:rsidR="00417381" w:rsidRPr="00417381" w:rsidRDefault="00417381" w:rsidP="005C2A01">
      <w:pPr>
        <w:pStyle w:val="NoSpacing"/>
        <w:numPr>
          <w:ilvl w:val="1"/>
          <w:numId w:val="1"/>
        </w:numPr>
        <w:rPr>
          <w:color w:val="FF0000"/>
        </w:rPr>
      </w:pPr>
      <w:r w:rsidRPr="00417381">
        <w:rPr>
          <w:color w:val="FF0000"/>
        </w:rPr>
        <w:t>P4,876,000</w:t>
      </w:r>
    </w:p>
    <w:p w14:paraId="11EABAB2" w14:textId="08A6204B" w:rsidR="005C2A01" w:rsidRDefault="005C2A01" w:rsidP="005C2A01">
      <w:pPr>
        <w:pStyle w:val="NoSpacing"/>
        <w:numPr>
          <w:ilvl w:val="1"/>
          <w:numId w:val="1"/>
        </w:numPr>
      </w:pPr>
      <w:r>
        <w:t>P4,767,000</w:t>
      </w:r>
    </w:p>
    <w:p w14:paraId="0DA6F663" w14:textId="77777777" w:rsidR="00417381" w:rsidRDefault="00417381" w:rsidP="00417381">
      <w:pPr>
        <w:pStyle w:val="NoSpacing"/>
      </w:pPr>
      <w:r>
        <w:t xml:space="preserve">  </w:t>
      </w:r>
      <w:r>
        <w:tab/>
      </w:r>
    </w:p>
    <w:tbl>
      <w:tblPr>
        <w:tblStyle w:val="TableGrid4"/>
        <w:tblW w:w="8928" w:type="dxa"/>
        <w:tblInd w:w="5" w:type="dxa"/>
        <w:tblCellMar>
          <w:top w:w="9" w:type="dxa"/>
          <w:left w:w="106" w:type="dxa"/>
          <w:bottom w:w="0" w:type="dxa"/>
          <w:right w:w="115" w:type="dxa"/>
        </w:tblCellMar>
        <w:tblLook w:val="04A0" w:firstRow="1" w:lastRow="0" w:firstColumn="1" w:lastColumn="0" w:noHBand="0" w:noVBand="1"/>
      </w:tblPr>
      <w:tblGrid>
        <w:gridCol w:w="492"/>
        <w:gridCol w:w="8436"/>
      </w:tblGrid>
      <w:tr w:rsidR="00417381" w:rsidRPr="00417381" w14:paraId="408269DA" w14:textId="77777777" w:rsidTr="00475CEE">
        <w:trPr>
          <w:trHeight w:val="240"/>
        </w:trPr>
        <w:tc>
          <w:tcPr>
            <w:tcW w:w="446" w:type="dxa"/>
            <w:tcBorders>
              <w:top w:val="single" w:sz="4" w:space="0" w:color="000000"/>
              <w:left w:val="single" w:sz="4" w:space="0" w:color="000000"/>
              <w:bottom w:val="single" w:sz="4" w:space="0" w:color="000000"/>
              <w:right w:val="single" w:sz="4" w:space="0" w:color="000000"/>
            </w:tcBorders>
          </w:tcPr>
          <w:p w14:paraId="5946F3CE" w14:textId="77777777" w:rsidR="00417381" w:rsidRPr="00417381" w:rsidRDefault="00417381" w:rsidP="00417381">
            <w:pPr>
              <w:spacing w:after="0" w:line="259" w:lineRule="auto"/>
              <w:ind w:left="0" w:firstLine="0"/>
              <w:jc w:val="left"/>
            </w:pPr>
            <w:r w:rsidRPr="00417381">
              <w:t xml:space="preserve">C </w:t>
            </w:r>
          </w:p>
        </w:tc>
        <w:tc>
          <w:tcPr>
            <w:tcW w:w="7651" w:type="dxa"/>
            <w:tcBorders>
              <w:top w:val="single" w:sz="4" w:space="0" w:color="000000"/>
              <w:left w:val="single" w:sz="4" w:space="0" w:color="000000"/>
              <w:bottom w:val="single" w:sz="4" w:space="0" w:color="000000"/>
              <w:right w:val="single" w:sz="4" w:space="0" w:color="000000"/>
            </w:tcBorders>
          </w:tcPr>
          <w:p w14:paraId="12040D64" w14:textId="77777777" w:rsidR="00417381" w:rsidRPr="00417381" w:rsidRDefault="00417381" w:rsidP="00417381">
            <w:pPr>
              <w:spacing w:after="0" w:line="259" w:lineRule="auto"/>
              <w:ind w:left="5" w:firstLine="0"/>
              <w:jc w:val="left"/>
            </w:pPr>
            <w:r w:rsidRPr="00417381">
              <w:t>13,360,000–11,180,000–654,000=1,526,000</w:t>
            </w:r>
            <w:proofErr w:type="gramStart"/>
            <w:r w:rsidRPr="00417381">
              <w:t>;  1,526,000</w:t>
            </w:r>
            <w:proofErr w:type="gramEnd"/>
            <w:r w:rsidRPr="00417381">
              <w:t xml:space="preserve">+3,350,000=4,876,000 </w:t>
            </w:r>
          </w:p>
        </w:tc>
      </w:tr>
    </w:tbl>
    <w:p w14:paraId="763C76CA" w14:textId="02302FD0" w:rsidR="00417381" w:rsidRDefault="00417381" w:rsidP="00417381">
      <w:pPr>
        <w:pStyle w:val="NoSpacing"/>
      </w:pPr>
    </w:p>
    <w:p w14:paraId="526D5157" w14:textId="77777777" w:rsidR="005C2A01" w:rsidRDefault="005C2A01" w:rsidP="00F35650">
      <w:pPr>
        <w:pStyle w:val="NoSpacing"/>
        <w:ind w:left="720"/>
      </w:pPr>
    </w:p>
    <w:p w14:paraId="1544EC78" w14:textId="77777777" w:rsidR="00A52CEF" w:rsidRDefault="00A52CEF" w:rsidP="00A52CEF">
      <w:pPr>
        <w:pStyle w:val="NoSpacing"/>
      </w:pPr>
    </w:p>
    <w:p w14:paraId="5BE9DB93" w14:textId="77777777" w:rsidR="00965C6E" w:rsidRDefault="00965C6E"/>
    <w:p w14:paraId="1CDAF81F" w14:textId="77777777" w:rsidR="00965C6E" w:rsidRDefault="00965C6E"/>
    <w:sectPr w:rsidR="00965C6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7FC86" w14:textId="77777777" w:rsidR="00D66A98" w:rsidRDefault="00D66A98" w:rsidP="00950531">
      <w:pPr>
        <w:spacing w:after="0" w:line="240" w:lineRule="auto"/>
      </w:pPr>
      <w:r>
        <w:separator/>
      </w:r>
    </w:p>
  </w:endnote>
  <w:endnote w:type="continuationSeparator" w:id="0">
    <w:p w14:paraId="4266162F" w14:textId="77777777" w:rsidR="00D66A98" w:rsidRDefault="00D66A98" w:rsidP="00950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79FD1" w14:textId="77777777" w:rsidR="00D66A98" w:rsidRDefault="00D66A98" w:rsidP="00950531">
      <w:pPr>
        <w:spacing w:after="0" w:line="240" w:lineRule="auto"/>
      </w:pPr>
      <w:r>
        <w:separator/>
      </w:r>
    </w:p>
  </w:footnote>
  <w:footnote w:type="continuationSeparator" w:id="0">
    <w:p w14:paraId="113B425A" w14:textId="77777777" w:rsidR="00D66A98" w:rsidRDefault="00D66A98" w:rsidP="00950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A755F"/>
    <w:multiLevelType w:val="hybridMultilevel"/>
    <w:tmpl w:val="ED404E10"/>
    <w:lvl w:ilvl="0" w:tplc="FFFFFFFF">
      <w:start w:val="1"/>
      <w:numFmt w:val="decimal"/>
      <w:lvlText w:val="%1."/>
      <w:lvlJc w:val="left"/>
      <w:pPr>
        <w:ind w:left="720" w:hanging="360"/>
      </w:pPr>
      <w:rPr>
        <w:rFonts w:hint="default"/>
      </w:rPr>
    </w:lvl>
    <w:lvl w:ilvl="1" w:tplc="34090017">
      <w:start w:val="1"/>
      <w:numFmt w:val="lowerLetter"/>
      <w:lvlText w:val="%2)"/>
      <w:lvlJc w:val="left"/>
      <w:pPr>
        <w:ind w:left="2203" w:hanging="360"/>
      </w:pPr>
    </w:lvl>
    <w:lvl w:ilvl="2" w:tplc="340C0FB4">
      <w:start w:val="1"/>
      <w:numFmt w:val="lowerLetter"/>
      <w:lvlText w:val="%3."/>
      <w:lvlJc w:val="left"/>
      <w:pPr>
        <w:ind w:left="192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0153E3"/>
    <w:multiLevelType w:val="hybridMultilevel"/>
    <w:tmpl w:val="50B24596"/>
    <w:lvl w:ilvl="0" w:tplc="0409000F">
      <w:start w:val="1"/>
      <w:numFmt w:val="decimal"/>
      <w:lvlText w:val="%1."/>
      <w:lvlJc w:val="left"/>
      <w:pPr>
        <w:ind w:left="360" w:hanging="360"/>
      </w:pPr>
    </w:lvl>
    <w:lvl w:ilvl="1" w:tplc="1FBCB954">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3B482B"/>
    <w:multiLevelType w:val="hybridMultilevel"/>
    <w:tmpl w:val="BE2C17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424A8"/>
    <w:multiLevelType w:val="multilevel"/>
    <w:tmpl w:val="7D908FD4"/>
    <w:styleLink w:val="CurrentList1"/>
    <w:lvl w:ilvl="0">
      <w:start w:val="1"/>
      <w:numFmt w:val="decimal"/>
      <w:lvlText w:val="%1."/>
      <w:lvlJc w:val="left"/>
      <w:pPr>
        <w:ind w:left="720" w:hanging="360"/>
      </w:pPr>
      <w:rPr>
        <w:rFonts w:hint="default"/>
      </w:rPr>
    </w:lvl>
    <w:lvl w:ilvl="1">
      <w:start w:val="1"/>
      <w:numFmt w:val="lowerLetter"/>
      <w:lvlText w:val="%2."/>
      <w:lvlJc w:val="left"/>
      <w:pPr>
        <w:ind w:left="2203" w:hanging="360"/>
      </w:pPr>
      <w:rPr>
        <w:rFonts w:asciiTheme="minorHAnsi" w:eastAsiaTheme="minorHAnsi" w:hAnsiTheme="minorHAnsi" w:cstheme="minorBid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C7793F"/>
    <w:multiLevelType w:val="hybridMultilevel"/>
    <w:tmpl w:val="86108166"/>
    <w:lvl w:ilvl="0" w:tplc="3409000F">
      <w:start w:val="1"/>
      <w:numFmt w:val="decimal"/>
      <w:lvlText w:val="%1."/>
      <w:lvlJc w:val="left"/>
      <w:pPr>
        <w:ind w:left="720" w:hanging="360"/>
      </w:pPr>
      <w:rPr>
        <w:rFonts w:hint="default"/>
      </w:rPr>
    </w:lvl>
    <w:lvl w:ilvl="1" w:tplc="C1B26DD8">
      <w:start w:val="1"/>
      <w:numFmt w:val="lowerLetter"/>
      <w:lvlText w:val="%2."/>
      <w:lvlJc w:val="left"/>
      <w:pPr>
        <w:ind w:left="2203" w:hanging="360"/>
      </w:pPr>
      <w:rPr>
        <w:rFonts w:asciiTheme="minorHAnsi" w:eastAsiaTheme="minorHAnsi" w:hAnsiTheme="minorHAnsi" w:cstheme="minorBidi"/>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79516236">
    <w:abstractNumId w:val="4"/>
  </w:num>
  <w:num w:numId="2" w16cid:durableId="53239668">
    <w:abstractNumId w:val="0"/>
  </w:num>
  <w:num w:numId="3" w16cid:durableId="1983269162">
    <w:abstractNumId w:val="3"/>
  </w:num>
  <w:num w:numId="4" w16cid:durableId="1856071902">
    <w:abstractNumId w:val="1"/>
  </w:num>
  <w:num w:numId="5" w16cid:durableId="1061904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6E"/>
    <w:rsid w:val="00093B63"/>
    <w:rsid w:val="0015101F"/>
    <w:rsid w:val="001C5245"/>
    <w:rsid w:val="001D3002"/>
    <w:rsid w:val="001D5EEA"/>
    <w:rsid w:val="002760CF"/>
    <w:rsid w:val="00283C80"/>
    <w:rsid w:val="00417381"/>
    <w:rsid w:val="00525731"/>
    <w:rsid w:val="005C2A01"/>
    <w:rsid w:val="005E71DF"/>
    <w:rsid w:val="006D16A5"/>
    <w:rsid w:val="00897E28"/>
    <w:rsid w:val="00950531"/>
    <w:rsid w:val="00965C6E"/>
    <w:rsid w:val="00A345AB"/>
    <w:rsid w:val="00A52CEF"/>
    <w:rsid w:val="00B22840"/>
    <w:rsid w:val="00B667BA"/>
    <w:rsid w:val="00D66A98"/>
    <w:rsid w:val="00EF5616"/>
    <w:rsid w:val="00F35650"/>
    <w:rsid w:val="00FC06C6"/>
    <w:rsid w:val="00FF7B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F13B"/>
  <w15:chartTrackingRefBased/>
  <w15:docId w15:val="{84E9D634-17F9-4926-8680-C7A6D1FC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B63"/>
    <w:pPr>
      <w:spacing w:after="3" w:line="251" w:lineRule="auto"/>
      <w:ind w:left="10" w:hanging="10"/>
      <w:jc w:val="both"/>
    </w:pPr>
    <w:rPr>
      <w:rFonts w:ascii="Arial" w:eastAsia="Arial" w:hAnsi="Arial" w:cs="Arial"/>
      <w:color w:val="000000"/>
      <w:sz w:val="20"/>
      <w:lang w:eastAsia="en-PH"/>
    </w:rPr>
  </w:style>
  <w:style w:type="paragraph" w:styleId="Heading1">
    <w:name w:val="heading 1"/>
    <w:basedOn w:val="Normal"/>
    <w:next w:val="Normal"/>
    <w:link w:val="Heading1Char"/>
    <w:uiPriority w:val="9"/>
    <w:qFormat/>
    <w:rsid w:val="00965C6E"/>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965C6E"/>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965C6E"/>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965C6E"/>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sz w:val="24"/>
      <w:lang w:eastAsia="en-US"/>
    </w:rPr>
  </w:style>
  <w:style w:type="paragraph" w:styleId="Heading5">
    <w:name w:val="heading 5"/>
    <w:basedOn w:val="Normal"/>
    <w:next w:val="Normal"/>
    <w:link w:val="Heading5Char"/>
    <w:uiPriority w:val="9"/>
    <w:semiHidden/>
    <w:unhideWhenUsed/>
    <w:qFormat/>
    <w:rsid w:val="00965C6E"/>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sz w:val="24"/>
      <w:lang w:eastAsia="en-US"/>
    </w:rPr>
  </w:style>
  <w:style w:type="paragraph" w:styleId="Heading6">
    <w:name w:val="heading 6"/>
    <w:basedOn w:val="Normal"/>
    <w:next w:val="Normal"/>
    <w:link w:val="Heading6Char"/>
    <w:uiPriority w:val="9"/>
    <w:semiHidden/>
    <w:unhideWhenUsed/>
    <w:qFormat/>
    <w:rsid w:val="00965C6E"/>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sz w:val="24"/>
      <w:lang w:eastAsia="en-US"/>
    </w:rPr>
  </w:style>
  <w:style w:type="paragraph" w:styleId="Heading7">
    <w:name w:val="heading 7"/>
    <w:basedOn w:val="Normal"/>
    <w:next w:val="Normal"/>
    <w:link w:val="Heading7Char"/>
    <w:uiPriority w:val="9"/>
    <w:semiHidden/>
    <w:unhideWhenUsed/>
    <w:qFormat/>
    <w:rsid w:val="00965C6E"/>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sz w:val="24"/>
      <w:lang w:eastAsia="en-US"/>
    </w:rPr>
  </w:style>
  <w:style w:type="paragraph" w:styleId="Heading8">
    <w:name w:val="heading 8"/>
    <w:basedOn w:val="Normal"/>
    <w:next w:val="Normal"/>
    <w:link w:val="Heading8Char"/>
    <w:uiPriority w:val="9"/>
    <w:semiHidden/>
    <w:unhideWhenUsed/>
    <w:qFormat/>
    <w:rsid w:val="00965C6E"/>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sz w:val="24"/>
      <w:lang w:eastAsia="en-US"/>
    </w:rPr>
  </w:style>
  <w:style w:type="paragraph" w:styleId="Heading9">
    <w:name w:val="heading 9"/>
    <w:basedOn w:val="Normal"/>
    <w:next w:val="Normal"/>
    <w:link w:val="Heading9Char"/>
    <w:uiPriority w:val="9"/>
    <w:semiHidden/>
    <w:unhideWhenUsed/>
    <w:qFormat/>
    <w:rsid w:val="00965C6E"/>
    <w:pPr>
      <w:keepNext/>
      <w:keepLines/>
      <w:spacing w:after="0" w:line="278" w:lineRule="auto"/>
      <w:ind w:left="0" w:firstLine="0"/>
      <w:jc w:val="left"/>
      <w:outlineLvl w:val="8"/>
    </w:pPr>
    <w:rPr>
      <w:rFonts w:asciiTheme="minorHAnsi" w:eastAsiaTheme="majorEastAsia" w:hAnsiTheme="minorHAnsi" w:cstheme="majorBidi"/>
      <w:color w:val="272727" w:themeColor="text1" w:themeTint="D8"/>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C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C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C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C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C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C6E"/>
    <w:rPr>
      <w:rFonts w:eastAsiaTheme="majorEastAsia" w:cstheme="majorBidi"/>
      <w:color w:val="272727" w:themeColor="text1" w:themeTint="D8"/>
    </w:rPr>
  </w:style>
  <w:style w:type="paragraph" w:styleId="Title">
    <w:name w:val="Title"/>
    <w:basedOn w:val="Normal"/>
    <w:next w:val="Normal"/>
    <w:link w:val="TitleChar"/>
    <w:uiPriority w:val="10"/>
    <w:qFormat/>
    <w:rsid w:val="00965C6E"/>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965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C6E"/>
    <w:pPr>
      <w:numPr>
        <w:ilvl w:val="1"/>
      </w:numPr>
      <w:spacing w:after="160" w:line="278" w:lineRule="auto"/>
      <w:ind w:left="10"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965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C6E"/>
    <w:pPr>
      <w:spacing w:before="160" w:after="160" w:line="278" w:lineRule="auto"/>
      <w:ind w:left="0" w:firstLine="0"/>
      <w:jc w:val="center"/>
    </w:pPr>
    <w:rPr>
      <w:rFonts w:asciiTheme="minorHAnsi" w:eastAsiaTheme="minorHAnsi" w:hAnsiTheme="minorHAnsi" w:cstheme="minorBidi"/>
      <w:i/>
      <w:iCs/>
      <w:color w:val="404040" w:themeColor="text1" w:themeTint="BF"/>
      <w:sz w:val="24"/>
      <w:lang w:eastAsia="en-US"/>
    </w:rPr>
  </w:style>
  <w:style w:type="character" w:customStyle="1" w:styleId="QuoteChar">
    <w:name w:val="Quote Char"/>
    <w:basedOn w:val="DefaultParagraphFont"/>
    <w:link w:val="Quote"/>
    <w:uiPriority w:val="29"/>
    <w:rsid w:val="00965C6E"/>
    <w:rPr>
      <w:i/>
      <w:iCs/>
      <w:color w:val="404040" w:themeColor="text1" w:themeTint="BF"/>
    </w:rPr>
  </w:style>
  <w:style w:type="paragraph" w:styleId="ListParagraph">
    <w:name w:val="List Paragraph"/>
    <w:basedOn w:val="Normal"/>
    <w:uiPriority w:val="34"/>
    <w:qFormat/>
    <w:rsid w:val="00965C6E"/>
    <w:pPr>
      <w:spacing w:after="160" w:line="278" w:lineRule="auto"/>
      <w:ind w:left="720" w:firstLine="0"/>
      <w:contextualSpacing/>
      <w:jc w:val="left"/>
    </w:pPr>
    <w:rPr>
      <w:rFonts w:asciiTheme="minorHAnsi" w:eastAsiaTheme="minorHAnsi" w:hAnsiTheme="minorHAnsi" w:cstheme="minorBidi"/>
      <w:color w:val="auto"/>
      <w:sz w:val="24"/>
      <w:lang w:eastAsia="en-US"/>
    </w:rPr>
  </w:style>
  <w:style w:type="character" w:styleId="IntenseEmphasis">
    <w:name w:val="Intense Emphasis"/>
    <w:basedOn w:val="DefaultParagraphFont"/>
    <w:uiPriority w:val="21"/>
    <w:qFormat/>
    <w:rsid w:val="00965C6E"/>
    <w:rPr>
      <w:i/>
      <w:iCs/>
      <w:color w:val="0F4761" w:themeColor="accent1" w:themeShade="BF"/>
    </w:rPr>
  </w:style>
  <w:style w:type="paragraph" w:styleId="IntenseQuote">
    <w:name w:val="Intense Quote"/>
    <w:basedOn w:val="Normal"/>
    <w:next w:val="Normal"/>
    <w:link w:val="IntenseQuoteChar"/>
    <w:uiPriority w:val="30"/>
    <w:qFormat/>
    <w:rsid w:val="00965C6E"/>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sz w:val="24"/>
      <w:lang w:eastAsia="en-US"/>
    </w:rPr>
  </w:style>
  <w:style w:type="character" w:customStyle="1" w:styleId="IntenseQuoteChar">
    <w:name w:val="Intense Quote Char"/>
    <w:basedOn w:val="DefaultParagraphFont"/>
    <w:link w:val="IntenseQuote"/>
    <w:uiPriority w:val="30"/>
    <w:rsid w:val="00965C6E"/>
    <w:rPr>
      <w:i/>
      <w:iCs/>
      <w:color w:val="0F4761" w:themeColor="accent1" w:themeShade="BF"/>
    </w:rPr>
  </w:style>
  <w:style w:type="character" w:styleId="IntenseReference">
    <w:name w:val="Intense Reference"/>
    <w:basedOn w:val="DefaultParagraphFont"/>
    <w:uiPriority w:val="32"/>
    <w:qFormat/>
    <w:rsid w:val="00965C6E"/>
    <w:rPr>
      <w:b/>
      <w:bCs/>
      <w:smallCaps/>
      <w:color w:val="0F4761" w:themeColor="accent1" w:themeShade="BF"/>
      <w:spacing w:val="5"/>
    </w:rPr>
  </w:style>
  <w:style w:type="paragraph" w:styleId="NoSpacing">
    <w:name w:val="No Spacing"/>
    <w:uiPriority w:val="1"/>
    <w:qFormat/>
    <w:rsid w:val="00965C6E"/>
    <w:pPr>
      <w:spacing w:after="0" w:line="240" w:lineRule="auto"/>
    </w:pPr>
  </w:style>
  <w:style w:type="paragraph" w:styleId="Header">
    <w:name w:val="header"/>
    <w:basedOn w:val="Normal"/>
    <w:link w:val="HeaderChar"/>
    <w:uiPriority w:val="99"/>
    <w:unhideWhenUsed/>
    <w:rsid w:val="00950531"/>
    <w:pPr>
      <w:tabs>
        <w:tab w:val="center" w:pos="4680"/>
        <w:tab w:val="right" w:pos="9360"/>
      </w:tabs>
      <w:spacing w:after="0" w:line="240" w:lineRule="auto"/>
      <w:ind w:left="0" w:firstLine="0"/>
      <w:jc w:val="left"/>
    </w:pPr>
    <w:rPr>
      <w:rFonts w:asciiTheme="minorHAnsi" w:eastAsiaTheme="minorHAnsi" w:hAnsiTheme="minorHAnsi" w:cstheme="minorBidi"/>
      <w:color w:val="auto"/>
      <w:sz w:val="24"/>
      <w:lang w:eastAsia="en-US"/>
    </w:rPr>
  </w:style>
  <w:style w:type="character" w:customStyle="1" w:styleId="HeaderChar">
    <w:name w:val="Header Char"/>
    <w:basedOn w:val="DefaultParagraphFont"/>
    <w:link w:val="Header"/>
    <w:uiPriority w:val="99"/>
    <w:rsid w:val="00950531"/>
  </w:style>
  <w:style w:type="paragraph" w:styleId="Footer">
    <w:name w:val="footer"/>
    <w:basedOn w:val="Normal"/>
    <w:link w:val="FooterChar"/>
    <w:uiPriority w:val="99"/>
    <w:unhideWhenUsed/>
    <w:rsid w:val="00950531"/>
    <w:pPr>
      <w:tabs>
        <w:tab w:val="center" w:pos="4680"/>
        <w:tab w:val="right" w:pos="9360"/>
      </w:tabs>
      <w:spacing w:after="0" w:line="240" w:lineRule="auto"/>
      <w:ind w:left="0" w:firstLine="0"/>
      <w:jc w:val="left"/>
    </w:pPr>
    <w:rPr>
      <w:rFonts w:asciiTheme="minorHAnsi" w:eastAsiaTheme="minorHAnsi" w:hAnsiTheme="minorHAnsi" w:cstheme="minorBidi"/>
      <w:color w:val="auto"/>
      <w:sz w:val="24"/>
      <w:lang w:eastAsia="en-US"/>
    </w:rPr>
  </w:style>
  <w:style w:type="character" w:customStyle="1" w:styleId="FooterChar">
    <w:name w:val="Footer Char"/>
    <w:basedOn w:val="DefaultParagraphFont"/>
    <w:link w:val="Footer"/>
    <w:uiPriority w:val="99"/>
    <w:rsid w:val="00950531"/>
  </w:style>
  <w:style w:type="numbering" w:customStyle="1" w:styleId="CurrentList1">
    <w:name w:val="Current List1"/>
    <w:uiPriority w:val="99"/>
    <w:rsid w:val="00950531"/>
    <w:pPr>
      <w:numPr>
        <w:numId w:val="3"/>
      </w:numPr>
    </w:pPr>
  </w:style>
  <w:style w:type="table" w:customStyle="1" w:styleId="TableGrid">
    <w:name w:val="TableGrid"/>
    <w:rsid w:val="00093B63"/>
    <w:pPr>
      <w:spacing w:after="0" w:line="240" w:lineRule="auto"/>
    </w:pPr>
    <w:rPr>
      <w:rFonts w:eastAsiaTheme="minorEastAsia"/>
      <w:lang w:eastAsia="en-PH"/>
    </w:rPr>
    <w:tblPr>
      <w:tblCellMar>
        <w:top w:w="0" w:type="dxa"/>
        <w:left w:w="0" w:type="dxa"/>
        <w:bottom w:w="0" w:type="dxa"/>
        <w:right w:w="0" w:type="dxa"/>
      </w:tblCellMar>
    </w:tblPr>
  </w:style>
  <w:style w:type="table" w:customStyle="1" w:styleId="TableGrid1">
    <w:name w:val="TableGrid1"/>
    <w:rsid w:val="001D5EEA"/>
    <w:pPr>
      <w:spacing w:after="0" w:line="240" w:lineRule="auto"/>
    </w:pPr>
    <w:rPr>
      <w:rFonts w:eastAsiaTheme="minorEastAsia"/>
      <w:lang w:eastAsia="en-PH"/>
    </w:rPr>
    <w:tblPr>
      <w:tblCellMar>
        <w:top w:w="0" w:type="dxa"/>
        <w:left w:w="0" w:type="dxa"/>
        <w:bottom w:w="0" w:type="dxa"/>
        <w:right w:w="0" w:type="dxa"/>
      </w:tblCellMar>
    </w:tblPr>
  </w:style>
  <w:style w:type="table" w:customStyle="1" w:styleId="TableGrid2">
    <w:name w:val="TableGrid2"/>
    <w:rsid w:val="005C2A01"/>
    <w:pPr>
      <w:spacing w:after="0" w:line="240" w:lineRule="auto"/>
    </w:pPr>
    <w:rPr>
      <w:rFonts w:eastAsiaTheme="minorEastAsia"/>
      <w:lang w:eastAsia="en-PH"/>
    </w:rPr>
    <w:tblPr>
      <w:tblCellMar>
        <w:top w:w="0" w:type="dxa"/>
        <w:left w:w="0" w:type="dxa"/>
        <w:bottom w:w="0" w:type="dxa"/>
        <w:right w:w="0" w:type="dxa"/>
      </w:tblCellMar>
    </w:tblPr>
  </w:style>
  <w:style w:type="table" w:customStyle="1" w:styleId="TableGrid3">
    <w:name w:val="TableGrid3"/>
    <w:rsid w:val="00417381"/>
    <w:pPr>
      <w:spacing w:after="0" w:line="240" w:lineRule="auto"/>
    </w:pPr>
    <w:rPr>
      <w:rFonts w:eastAsiaTheme="minorEastAsia"/>
      <w:lang w:eastAsia="en-PH"/>
    </w:rPr>
    <w:tblPr>
      <w:tblCellMar>
        <w:top w:w="0" w:type="dxa"/>
        <w:left w:w="0" w:type="dxa"/>
        <w:bottom w:w="0" w:type="dxa"/>
        <w:right w:w="0" w:type="dxa"/>
      </w:tblCellMar>
    </w:tblPr>
  </w:style>
  <w:style w:type="table" w:customStyle="1" w:styleId="TableGrid4">
    <w:name w:val="TableGrid4"/>
    <w:rsid w:val="00417381"/>
    <w:pPr>
      <w:spacing w:after="0" w:line="240" w:lineRule="auto"/>
    </w:pPr>
    <w:rPr>
      <w:rFonts w:eastAsiaTheme="minorEastAsia"/>
      <w:lang w:eastAsia="en-P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ilene padilla</dc:creator>
  <cp:keywords/>
  <dc:description/>
  <cp:lastModifiedBy>ilene padilla</cp:lastModifiedBy>
  <cp:revision>4</cp:revision>
  <dcterms:created xsi:type="dcterms:W3CDTF">2024-08-31T21:14:00Z</dcterms:created>
  <dcterms:modified xsi:type="dcterms:W3CDTF">2024-09-10T08:06:00Z</dcterms:modified>
</cp:coreProperties>
</file>