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4DA4" w14:textId="295DF057" w:rsidR="0010570E" w:rsidRPr="000116FB" w:rsidRDefault="008B0E29" w:rsidP="00E77849">
      <w:pPr>
        <w:spacing w:after="240"/>
        <w:jc w:val="both"/>
        <w:rPr>
          <w:rFonts w:ascii="Times New Roman" w:eastAsia="Times New Roman" w:hAnsi="Times New Roman" w:cs="Times New Roman"/>
          <w:b/>
          <w:bCs/>
          <w:color w:val="000000"/>
          <w:sz w:val="22"/>
          <w:szCs w:val="22"/>
        </w:rPr>
      </w:pPr>
      <w:bookmarkStart w:id="0" w:name="OLE_LINK17"/>
      <w:bookmarkStart w:id="1" w:name="OLE_LINK18"/>
      <w:r w:rsidRPr="000116FB">
        <w:rPr>
          <w:rFonts w:ascii="Times New Roman" w:eastAsia="Times New Roman" w:hAnsi="Times New Roman" w:cs="Times New Roman"/>
          <w:b/>
          <w:bCs/>
          <w:color w:val="000000"/>
          <w:sz w:val="22"/>
          <w:szCs w:val="22"/>
        </w:rPr>
        <w:t>Referee</w:t>
      </w:r>
      <w:r w:rsidR="0010570E" w:rsidRPr="000116FB">
        <w:rPr>
          <w:rFonts w:ascii="Times New Roman" w:eastAsia="Times New Roman" w:hAnsi="Times New Roman" w:cs="Times New Roman"/>
          <w:b/>
          <w:bCs/>
          <w:color w:val="000000"/>
          <w:sz w:val="22"/>
          <w:szCs w:val="22"/>
        </w:rPr>
        <w:t xml:space="preserve"> #1</w:t>
      </w:r>
    </w:p>
    <w:p w14:paraId="26E626B5" w14:textId="77777777" w:rsidR="00E77849" w:rsidRPr="000116FB" w:rsidRDefault="0010570E" w:rsidP="00E77849">
      <w:pPr>
        <w:spacing w:after="240"/>
        <w:jc w:val="both"/>
        <w:rPr>
          <w:rFonts w:ascii="Times New Roman" w:eastAsia="Times New Roman" w:hAnsi="Times New Roman" w:cs="Times New Roman"/>
          <w:i/>
          <w:iCs/>
          <w:color w:val="000000"/>
          <w:sz w:val="22"/>
          <w:szCs w:val="22"/>
          <w:shd w:val="clear" w:color="auto" w:fill="FFFFFF"/>
        </w:rPr>
      </w:pPr>
      <w:bookmarkStart w:id="2" w:name="OLE_LINK5"/>
      <w:bookmarkStart w:id="3" w:name="OLE_LINK6"/>
      <w:bookmarkEnd w:id="0"/>
      <w:bookmarkEnd w:id="1"/>
      <w:r w:rsidRPr="000116FB">
        <w:rPr>
          <w:rFonts w:ascii="Times New Roman" w:eastAsia="Times New Roman" w:hAnsi="Times New Roman" w:cs="Times New Roman"/>
          <w:b/>
          <w:bCs/>
          <w:color w:val="000000"/>
          <w:sz w:val="22"/>
          <w:szCs w:val="22"/>
        </w:rPr>
        <w:t>Comment 1: “</w:t>
      </w:r>
      <w:bookmarkEnd w:id="2"/>
      <w:bookmarkEnd w:id="3"/>
      <w:r w:rsidR="000F045E" w:rsidRPr="000116FB">
        <w:rPr>
          <w:rFonts w:ascii="Times New Roman" w:eastAsia="Times New Roman" w:hAnsi="Times New Roman" w:cs="Times New Roman"/>
          <w:i/>
          <w:iCs/>
          <w:color w:val="000000"/>
          <w:sz w:val="22"/>
          <w:szCs w:val="22"/>
          <w:shd w:val="clear" w:color="auto" w:fill="FFFFFF"/>
        </w:rPr>
        <w:t>The authors provide a collection of &gt;10,000 fecal microbiota samples longitudinal collected from &gt;1,000 patients, along with some analyses of those specimens. Given the scope of the journal this review focuses on the dataset.</w:t>
      </w:r>
    </w:p>
    <w:p w14:paraId="5E738DF3" w14:textId="77777777" w:rsidR="00E77849" w:rsidRPr="000116FB"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 xml:space="preserve">First, this is a large and rich dataset with excellent potential for re-use. Metagenomes were sequenced on an Illumina </w:t>
      </w:r>
      <w:proofErr w:type="spellStart"/>
      <w:r w:rsidRPr="000116FB">
        <w:rPr>
          <w:rFonts w:ascii="Times New Roman" w:eastAsia="Times New Roman" w:hAnsi="Times New Roman" w:cs="Times New Roman"/>
          <w:i/>
          <w:iCs/>
          <w:color w:val="000000"/>
          <w:sz w:val="22"/>
          <w:szCs w:val="22"/>
          <w:shd w:val="clear" w:color="auto" w:fill="FFFFFF"/>
        </w:rPr>
        <w:t>MiSeq</w:t>
      </w:r>
      <w:proofErr w:type="spellEnd"/>
      <w:r w:rsidRPr="000116FB">
        <w:rPr>
          <w:rFonts w:ascii="Times New Roman" w:eastAsia="Times New Roman" w:hAnsi="Times New Roman" w:cs="Times New Roman"/>
          <w:i/>
          <w:iCs/>
          <w:color w:val="000000"/>
          <w:sz w:val="22"/>
          <w:szCs w:val="22"/>
          <w:shd w:val="clear" w:color="auto" w:fill="FFFFFF"/>
        </w:rPr>
        <w:t xml:space="preserve"> platform using a paired-end 250 × 250 reads. The dataset includes:</w:t>
      </w:r>
    </w:p>
    <w:p w14:paraId="400F9F48" w14:textId="4D562283"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Counts of mapped 16S sequences</w:t>
      </w:r>
    </w:p>
    <w:p w14:paraId="77D7F830"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16S qPCR data for total microbiome estimation. </w:t>
      </w:r>
    </w:p>
    <w:p w14:paraId="7F47FA48"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Metadata about hematopoietic cell transplantation </w:t>
      </w:r>
    </w:p>
    <w:p w14:paraId="59DACBB5"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Timing and route of drug administration </w:t>
      </w:r>
    </w:p>
    <w:p w14:paraId="4228249A"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Dates of positive blood cultures </w:t>
      </w:r>
    </w:p>
    <w:p w14:paraId="2164A24E"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Repeated body temperature measures </w:t>
      </w:r>
    </w:p>
    <w:p w14:paraId="09B5A7AA"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Daily measurements of white blood cells, platelets and red blood cells </w:t>
      </w:r>
    </w:p>
    <w:p w14:paraId="45AEFBF5"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NCBI SRA accession numbers for the sequencing data </w:t>
      </w:r>
    </w:p>
    <w:p w14:paraId="09E54E53" w14:textId="77777777" w:rsidR="00E77849" w:rsidRPr="000116FB" w:rsidRDefault="000F045E" w:rsidP="00E77849">
      <w:pPr>
        <w:pStyle w:val="ListParagraph"/>
        <w:numPr>
          <w:ilvl w:val="0"/>
          <w:numId w:val="1"/>
        </w:num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Silva taxonomy tables for OTUs</w:t>
      </w:r>
    </w:p>
    <w:p w14:paraId="072BE791" w14:textId="3CFA85EB" w:rsidR="00713206" w:rsidRPr="000116FB" w:rsidRDefault="000F045E" w:rsidP="00E77849">
      <w:p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t xml:space="preserve">The sequencing data are distributed through NCBI’s Sequence Read Archive, and all other data through </w:t>
      </w:r>
      <w:proofErr w:type="spellStart"/>
      <w:r w:rsidRPr="000116FB">
        <w:rPr>
          <w:rFonts w:ascii="Times New Roman" w:eastAsia="Times New Roman" w:hAnsi="Times New Roman" w:cs="Times New Roman"/>
          <w:i/>
          <w:iCs/>
          <w:color w:val="000000"/>
          <w:sz w:val="22"/>
          <w:szCs w:val="22"/>
          <w:shd w:val="clear" w:color="auto" w:fill="FFFFFF"/>
        </w:rPr>
        <w:t>Figshare</w:t>
      </w:r>
      <w:proofErr w:type="spellEnd"/>
      <w:r w:rsidRPr="000116FB">
        <w:rPr>
          <w:rFonts w:ascii="Times New Roman" w:eastAsia="Times New Roman" w:hAnsi="Times New Roman" w:cs="Times New Roman"/>
          <w:i/>
          <w:iCs/>
          <w:color w:val="000000"/>
          <w:sz w:val="22"/>
          <w:szCs w:val="22"/>
          <w:shd w:val="clear" w:color="auto" w:fill="FFFFFF"/>
        </w:rPr>
        <w:t xml:space="preserve">. I was able to easily download all these data as CSV files, load them into R, and join them based on sample ID and patient ID. It is a great improvement over the presentation of data and metadata in most publications that are not </w:t>
      </w:r>
      <w:proofErr w:type="gramStart"/>
      <w:r w:rsidRPr="000116FB">
        <w:rPr>
          <w:rFonts w:ascii="Times New Roman" w:eastAsia="Times New Roman" w:hAnsi="Times New Roman" w:cs="Times New Roman"/>
          <w:i/>
          <w:iCs/>
          <w:color w:val="000000"/>
          <w:sz w:val="22"/>
          <w:szCs w:val="22"/>
          <w:shd w:val="clear" w:color="auto" w:fill="FFFFFF"/>
        </w:rPr>
        <w:t>data-centric</w:t>
      </w:r>
      <w:proofErr w:type="gramEnd"/>
      <w:r w:rsidRPr="000116FB">
        <w:rPr>
          <w:rFonts w:ascii="Times New Roman" w:eastAsia="Times New Roman" w:hAnsi="Times New Roman" w:cs="Times New Roman"/>
          <w:i/>
          <w:iCs/>
          <w:color w:val="000000"/>
          <w:sz w:val="22"/>
          <w:szCs w:val="22"/>
          <w:shd w:val="clear" w:color="auto" w:fill="FFFFFF"/>
        </w:rPr>
        <w:t>. I have only some moderate and minor comments.</w:t>
      </w:r>
      <w:r w:rsidR="00713206" w:rsidRPr="000116FB">
        <w:rPr>
          <w:rFonts w:ascii="Times New Roman" w:eastAsia="Times New Roman" w:hAnsi="Times New Roman" w:cs="Times New Roman"/>
          <w:b/>
          <w:bCs/>
          <w:color w:val="000000"/>
          <w:sz w:val="22"/>
          <w:szCs w:val="22"/>
          <w:shd w:val="clear" w:color="auto" w:fill="FFFFFF"/>
        </w:rPr>
        <w:t>”</w:t>
      </w:r>
    </w:p>
    <w:p w14:paraId="63548811" w14:textId="70FE94CC" w:rsidR="00A510A7" w:rsidRPr="000116FB" w:rsidRDefault="00713206" w:rsidP="002D3600">
      <w:pPr>
        <w:spacing w:after="240"/>
        <w:rPr>
          <w:rFonts w:ascii="Times New Roman" w:eastAsia="Times New Roman" w:hAnsi="Times New Roman" w:cs="Times New Roman"/>
          <w:color w:val="000000"/>
          <w:sz w:val="22"/>
          <w:szCs w:val="22"/>
        </w:rPr>
      </w:pPr>
      <w:bookmarkStart w:id="4" w:name="OLE_LINK7"/>
      <w:bookmarkStart w:id="5" w:name="OLE_LINK8"/>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t>
      </w:r>
      <w:r w:rsidR="00A510A7" w:rsidRPr="000116FB">
        <w:rPr>
          <w:rFonts w:ascii="Times New Roman" w:eastAsia="Times New Roman" w:hAnsi="Times New Roman" w:cs="Times New Roman"/>
          <w:color w:val="000000"/>
          <w:sz w:val="22"/>
          <w:szCs w:val="22"/>
        </w:rPr>
        <w:t xml:space="preserve">We thank the </w:t>
      </w:r>
      <w:r w:rsidR="00DC3B27" w:rsidRPr="000116FB">
        <w:rPr>
          <w:rFonts w:ascii="Times New Roman" w:eastAsia="Times New Roman" w:hAnsi="Times New Roman" w:cs="Times New Roman"/>
          <w:color w:val="000000"/>
          <w:sz w:val="22"/>
          <w:szCs w:val="22"/>
        </w:rPr>
        <w:t xml:space="preserve">referee </w:t>
      </w:r>
      <w:r w:rsidR="00A510A7" w:rsidRPr="000116FB">
        <w:rPr>
          <w:rFonts w:ascii="Times New Roman" w:eastAsia="Times New Roman" w:hAnsi="Times New Roman" w:cs="Times New Roman"/>
          <w:color w:val="000000"/>
          <w:sz w:val="22"/>
          <w:szCs w:val="22"/>
        </w:rPr>
        <w:t xml:space="preserve">for taking time to evaluate our </w:t>
      </w:r>
      <w:r w:rsidR="00FA77C2" w:rsidRPr="000116FB">
        <w:rPr>
          <w:rFonts w:ascii="Times New Roman" w:eastAsia="Times New Roman" w:hAnsi="Times New Roman" w:cs="Times New Roman"/>
          <w:color w:val="000000"/>
          <w:sz w:val="22"/>
          <w:szCs w:val="22"/>
        </w:rPr>
        <w:t xml:space="preserve">data tables and </w:t>
      </w:r>
      <w:r w:rsidR="00A510A7" w:rsidRPr="000116FB">
        <w:rPr>
          <w:rFonts w:ascii="Times New Roman" w:eastAsia="Times New Roman" w:hAnsi="Times New Roman" w:cs="Times New Roman"/>
          <w:color w:val="000000"/>
          <w:sz w:val="22"/>
          <w:szCs w:val="22"/>
        </w:rPr>
        <w:t xml:space="preserve">manuscript. We are </w:t>
      </w:r>
      <w:r w:rsidR="0099181A" w:rsidRPr="000116FB">
        <w:rPr>
          <w:rFonts w:ascii="Times New Roman" w:eastAsia="Times New Roman" w:hAnsi="Times New Roman" w:cs="Times New Roman"/>
          <w:color w:val="000000"/>
          <w:sz w:val="22"/>
          <w:szCs w:val="22"/>
        </w:rPr>
        <w:t>glad</w:t>
      </w:r>
      <w:r w:rsidR="00A510A7" w:rsidRPr="000116FB">
        <w:rPr>
          <w:rFonts w:ascii="Times New Roman" w:eastAsia="Times New Roman" w:hAnsi="Times New Roman" w:cs="Times New Roman"/>
          <w:color w:val="000000"/>
          <w:sz w:val="22"/>
          <w:szCs w:val="22"/>
        </w:rPr>
        <w:t xml:space="preserve"> to </w:t>
      </w:r>
      <w:r w:rsidR="0099181A" w:rsidRPr="000116FB">
        <w:rPr>
          <w:rFonts w:ascii="Times New Roman" w:eastAsia="Times New Roman" w:hAnsi="Times New Roman" w:cs="Times New Roman"/>
          <w:color w:val="000000"/>
          <w:sz w:val="22"/>
          <w:szCs w:val="22"/>
        </w:rPr>
        <w:t>know</w:t>
      </w:r>
      <w:r w:rsidR="00A510A7" w:rsidRPr="000116FB">
        <w:rPr>
          <w:rFonts w:ascii="Times New Roman" w:eastAsia="Times New Roman" w:hAnsi="Times New Roman" w:cs="Times New Roman"/>
          <w:color w:val="000000"/>
          <w:sz w:val="22"/>
          <w:szCs w:val="22"/>
        </w:rPr>
        <w:t xml:space="preserve"> that the </w:t>
      </w:r>
      <w:r w:rsidR="00DC3B27" w:rsidRPr="000116FB">
        <w:rPr>
          <w:rFonts w:ascii="Times New Roman" w:eastAsia="Times New Roman" w:hAnsi="Times New Roman" w:cs="Times New Roman"/>
          <w:color w:val="000000"/>
          <w:sz w:val="22"/>
          <w:szCs w:val="22"/>
        </w:rPr>
        <w:t>referee agrees</w:t>
      </w:r>
      <w:r w:rsidR="00A510A7" w:rsidRPr="000116FB">
        <w:rPr>
          <w:rFonts w:ascii="Times New Roman" w:eastAsia="Times New Roman" w:hAnsi="Times New Roman" w:cs="Times New Roman"/>
          <w:color w:val="000000"/>
          <w:sz w:val="22"/>
          <w:szCs w:val="22"/>
        </w:rPr>
        <w:t xml:space="preserve"> our </w:t>
      </w:r>
      <w:r w:rsidR="009A0CDA" w:rsidRPr="000116FB">
        <w:rPr>
          <w:rFonts w:ascii="Times New Roman" w:eastAsia="Times New Roman" w:hAnsi="Times New Roman" w:cs="Times New Roman" w:hint="eastAsia"/>
          <w:color w:val="000000"/>
          <w:sz w:val="22"/>
          <w:szCs w:val="22"/>
        </w:rPr>
        <w:t>data</w:t>
      </w:r>
      <w:r w:rsidR="009A0CDA" w:rsidRPr="000116FB">
        <w:rPr>
          <w:rFonts w:ascii="Times New Roman" w:eastAsia="Times New Roman" w:hAnsi="Times New Roman" w:cs="Times New Roman"/>
          <w:color w:val="000000"/>
          <w:sz w:val="22"/>
          <w:szCs w:val="22"/>
        </w:rPr>
        <w:t xml:space="preserve"> is potentially useful.</w:t>
      </w:r>
    </w:p>
    <w:p w14:paraId="04553CEB" w14:textId="183ED1DB" w:rsidR="00085CF9" w:rsidRPr="000116FB" w:rsidRDefault="00085CF9" w:rsidP="005F4CCD">
      <w:pPr>
        <w:spacing w:after="240"/>
        <w:jc w:val="both"/>
        <w:rPr>
          <w:rFonts w:ascii="Times New Roman" w:eastAsia="Times New Roman" w:hAnsi="Times New Roman" w:cs="Times New Roman"/>
          <w:i/>
          <w:iCs/>
          <w:color w:val="000000"/>
          <w:sz w:val="22"/>
          <w:szCs w:val="22"/>
          <w:shd w:val="clear" w:color="auto" w:fill="FFFFFF"/>
        </w:rPr>
      </w:pPr>
      <w:bookmarkStart w:id="6" w:name="OLE_LINK9"/>
      <w:bookmarkStart w:id="7" w:name="OLE_LINK10"/>
      <w:bookmarkEnd w:id="4"/>
      <w:bookmarkEnd w:id="5"/>
      <w:r w:rsidRPr="000116FB">
        <w:rPr>
          <w:rFonts w:ascii="Times New Roman" w:eastAsia="Times New Roman" w:hAnsi="Times New Roman" w:cs="Times New Roman"/>
          <w:b/>
          <w:bCs/>
          <w:color w:val="000000"/>
          <w:sz w:val="22"/>
          <w:szCs w:val="22"/>
        </w:rPr>
        <w:t>Comment 2: “</w:t>
      </w:r>
      <w:bookmarkEnd w:id="6"/>
      <w:bookmarkEnd w:id="7"/>
      <w:r w:rsidR="000F045E" w:rsidRPr="000116FB">
        <w:rPr>
          <w:rFonts w:ascii="Times New Roman" w:eastAsia="Times New Roman" w:hAnsi="Times New Roman" w:cs="Times New Roman"/>
          <w:i/>
          <w:iCs/>
          <w:color w:val="000000"/>
          <w:sz w:val="22"/>
          <w:szCs w:val="22"/>
          <w:shd w:val="clear" w:color="auto" w:fill="FFFFFF"/>
        </w:rPr>
        <w:t xml:space="preserve">Moderate: "Did the authors provide all of the information needed for others to reuse this dataset, or integrate it with other data?": I selected No here only because the SRR accessions are not publicly visible on SRA, and I didn’t see a reviewer link to access them. I imagine these are just still not yet made </w:t>
      </w:r>
      <w:proofErr w:type="gramStart"/>
      <w:r w:rsidR="000F045E" w:rsidRPr="000116FB">
        <w:rPr>
          <w:rFonts w:ascii="Times New Roman" w:eastAsia="Times New Roman" w:hAnsi="Times New Roman" w:cs="Times New Roman"/>
          <w:i/>
          <w:iCs/>
          <w:color w:val="000000"/>
          <w:sz w:val="22"/>
          <w:szCs w:val="22"/>
          <w:shd w:val="clear" w:color="auto" w:fill="FFFFFF"/>
        </w:rPr>
        <w:t>public, but</w:t>
      </w:r>
      <w:proofErr w:type="gramEnd"/>
      <w:r w:rsidR="000F045E" w:rsidRPr="000116FB">
        <w:rPr>
          <w:rFonts w:ascii="Times New Roman" w:eastAsia="Times New Roman" w:hAnsi="Times New Roman" w:cs="Times New Roman"/>
          <w:i/>
          <w:iCs/>
          <w:color w:val="000000"/>
          <w:sz w:val="22"/>
          <w:szCs w:val="22"/>
          <w:shd w:val="clear" w:color="auto" w:fill="FFFFFF"/>
        </w:rPr>
        <w:t xml:space="preserve"> would want to make sure they are made public with at least minimal metadata on SRA with publication. The data in file </w:t>
      </w:r>
      <w:proofErr w:type="spellStart"/>
      <w:r w:rsidR="000F045E" w:rsidRPr="000116FB">
        <w:rPr>
          <w:rFonts w:ascii="Times New Roman" w:eastAsia="Times New Roman" w:hAnsi="Times New Roman" w:cs="Times New Roman"/>
          <w:i/>
          <w:iCs/>
          <w:color w:val="000000"/>
          <w:sz w:val="22"/>
          <w:szCs w:val="22"/>
          <w:shd w:val="clear" w:color="auto" w:fill="FFFFFF"/>
        </w:rPr>
        <w:t>tblASVsamples</w:t>
      </w:r>
      <w:proofErr w:type="spellEnd"/>
      <w:r w:rsidR="000F045E" w:rsidRPr="000116FB">
        <w:rPr>
          <w:rFonts w:ascii="Times New Roman" w:eastAsia="Times New Roman" w:hAnsi="Times New Roman" w:cs="Times New Roman"/>
          <w:i/>
          <w:iCs/>
          <w:color w:val="000000"/>
          <w:sz w:val="22"/>
          <w:szCs w:val="22"/>
          <w:shd w:val="clear" w:color="auto" w:fill="FFFFFF"/>
        </w:rPr>
        <w:t xml:space="preserve"> enables linking the sequence data to </w:t>
      </w:r>
      <w:proofErr w:type="spellStart"/>
      <w:r w:rsidR="000F045E" w:rsidRPr="000116FB">
        <w:rPr>
          <w:rFonts w:ascii="Times New Roman" w:eastAsia="Times New Roman" w:hAnsi="Times New Roman" w:cs="Times New Roman"/>
          <w:i/>
          <w:iCs/>
          <w:color w:val="000000"/>
          <w:sz w:val="22"/>
          <w:szCs w:val="22"/>
          <w:shd w:val="clear" w:color="auto" w:fill="FFFFFF"/>
        </w:rPr>
        <w:t>sampleID</w:t>
      </w:r>
      <w:proofErr w:type="spellEnd"/>
      <w:r w:rsidR="000F045E" w:rsidRPr="000116FB">
        <w:rPr>
          <w:rFonts w:ascii="Times New Roman" w:eastAsia="Times New Roman" w:hAnsi="Times New Roman" w:cs="Times New Roman"/>
          <w:i/>
          <w:iCs/>
          <w:color w:val="000000"/>
          <w:sz w:val="22"/>
          <w:szCs w:val="22"/>
          <w:shd w:val="clear" w:color="auto" w:fill="FFFFFF"/>
        </w:rPr>
        <w:t xml:space="preserve"> and </w:t>
      </w:r>
      <w:proofErr w:type="spellStart"/>
      <w:r w:rsidR="000F045E" w:rsidRPr="000116FB">
        <w:rPr>
          <w:rFonts w:ascii="Times New Roman" w:eastAsia="Times New Roman" w:hAnsi="Times New Roman" w:cs="Times New Roman"/>
          <w:i/>
          <w:iCs/>
          <w:color w:val="000000"/>
          <w:sz w:val="22"/>
          <w:szCs w:val="22"/>
          <w:shd w:val="clear" w:color="auto" w:fill="FFFFFF"/>
        </w:rPr>
        <w:t>patientID</w:t>
      </w:r>
      <w:proofErr w:type="spellEnd"/>
      <w:r w:rsidR="000F045E" w:rsidRPr="000116FB">
        <w:rPr>
          <w:rFonts w:ascii="Times New Roman" w:eastAsia="Times New Roman" w:hAnsi="Times New Roman" w:cs="Times New Roman"/>
          <w:i/>
          <w:iCs/>
          <w:color w:val="000000"/>
          <w:sz w:val="22"/>
          <w:szCs w:val="22"/>
          <w:shd w:val="clear" w:color="auto" w:fill="FFFFFF"/>
        </w:rPr>
        <w:t xml:space="preserve"> in the </w:t>
      </w:r>
      <w:proofErr w:type="spellStart"/>
      <w:r w:rsidR="000F045E" w:rsidRPr="000116FB">
        <w:rPr>
          <w:rFonts w:ascii="Times New Roman" w:eastAsia="Times New Roman" w:hAnsi="Times New Roman" w:cs="Times New Roman"/>
          <w:i/>
          <w:iCs/>
          <w:color w:val="000000"/>
          <w:sz w:val="22"/>
          <w:szCs w:val="22"/>
          <w:shd w:val="clear" w:color="auto" w:fill="FFFFFF"/>
        </w:rPr>
        <w:t>figshare</w:t>
      </w:r>
      <w:proofErr w:type="spellEnd"/>
      <w:r w:rsidR="000F045E" w:rsidRPr="000116FB">
        <w:rPr>
          <w:rFonts w:ascii="Times New Roman" w:eastAsia="Times New Roman" w:hAnsi="Times New Roman" w:cs="Times New Roman"/>
          <w:i/>
          <w:iCs/>
          <w:color w:val="000000"/>
          <w:sz w:val="22"/>
          <w:szCs w:val="22"/>
          <w:shd w:val="clear" w:color="auto" w:fill="FFFFFF"/>
        </w:rPr>
        <w:t xml:space="preserve"> metadata.</w:t>
      </w:r>
      <w:r w:rsidRPr="000116FB">
        <w:rPr>
          <w:rFonts w:ascii="Times New Roman" w:eastAsia="Times New Roman" w:hAnsi="Times New Roman" w:cs="Times New Roman"/>
          <w:b/>
          <w:bCs/>
          <w:color w:val="000000"/>
          <w:sz w:val="22"/>
          <w:szCs w:val="22"/>
          <w:shd w:val="clear" w:color="auto" w:fill="FFFFFF"/>
        </w:rPr>
        <w:t>”</w:t>
      </w:r>
    </w:p>
    <w:p w14:paraId="10E7B5AF" w14:textId="580D79A8" w:rsidR="002546FC" w:rsidRPr="000116FB" w:rsidRDefault="00085CF9" w:rsidP="00BE7D17">
      <w:pPr>
        <w:spacing w:after="240"/>
        <w:jc w:val="both"/>
        <w:rPr>
          <w:rFonts w:ascii="Times New Roman" w:eastAsia="Times New Roman" w:hAnsi="Times New Roman" w:cs="Times New Roman"/>
          <w:color w:val="000000"/>
          <w:sz w:val="22"/>
          <w:szCs w:val="22"/>
        </w:rPr>
      </w:pPr>
      <w:bookmarkStart w:id="8" w:name="OLE_LINK11"/>
      <w:bookmarkStart w:id="9" w:name="OLE_LINK12"/>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t>
      </w:r>
      <w:r w:rsidR="00791BFF" w:rsidRPr="000116FB">
        <w:rPr>
          <w:rFonts w:ascii="Times New Roman" w:eastAsia="Times New Roman" w:hAnsi="Times New Roman" w:cs="Times New Roman"/>
          <w:color w:val="000000"/>
          <w:sz w:val="22"/>
          <w:szCs w:val="22"/>
        </w:rPr>
        <w:t xml:space="preserve">We </w:t>
      </w:r>
      <w:r w:rsidR="00540509" w:rsidRPr="000116FB">
        <w:rPr>
          <w:rFonts w:ascii="Times New Roman" w:eastAsia="Times New Roman" w:hAnsi="Times New Roman" w:cs="Times New Roman"/>
          <w:color w:val="000000"/>
          <w:sz w:val="22"/>
          <w:szCs w:val="22"/>
        </w:rPr>
        <w:t xml:space="preserve">apologize for the issue where the referee could not </w:t>
      </w:r>
      <w:r w:rsidR="00791BFF" w:rsidRPr="000116FB">
        <w:rPr>
          <w:rFonts w:ascii="Times New Roman" w:eastAsia="Times New Roman" w:hAnsi="Times New Roman" w:cs="Times New Roman"/>
          <w:color w:val="000000"/>
          <w:sz w:val="22"/>
          <w:szCs w:val="22"/>
        </w:rPr>
        <w:t xml:space="preserve">access some sequences via SRR accessions. </w:t>
      </w:r>
      <w:r w:rsidR="00540509" w:rsidRPr="000116FB">
        <w:rPr>
          <w:rFonts w:ascii="Times New Roman" w:eastAsia="Times New Roman" w:hAnsi="Times New Roman" w:cs="Times New Roman"/>
          <w:color w:val="000000"/>
          <w:sz w:val="22"/>
          <w:szCs w:val="22"/>
        </w:rPr>
        <w:t xml:space="preserve">We revised the </w:t>
      </w:r>
      <w:proofErr w:type="spellStart"/>
      <w:r w:rsidR="00540509" w:rsidRPr="000116FB">
        <w:rPr>
          <w:rFonts w:ascii="Times New Roman" w:eastAsia="Times New Roman" w:hAnsi="Times New Roman" w:cs="Times New Roman"/>
          <w:i/>
          <w:iCs/>
          <w:color w:val="000000"/>
          <w:sz w:val="22"/>
          <w:szCs w:val="22"/>
        </w:rPr>
        <w:t>tblASVSamples</w:t>
      </w:r>
      <w:proofErr w:type="spellEnd"/>
      <w:r w:rsidR="00540509" w:rsidRPr="000116FB">
        <w:rPr>
          <w:rFonts w:ascii="Times New Roman" w:eastAsia="Times New Roman" w:hAnsi="Times New Roman" w:cs="Times New Roman"/>
          <w:color w:val="000000"/>
          <w:sz w:val="22"/>
          <w:szCs w:val="22"/>
        </w:rPr>
        <w:t xml:space="preserve"> with accession numbers that we made sure are </w:t>
      </w:r>
      <w:r w:rsidR="00791BFF" w:rsidRPr="000116FB">
        <w:rPr>
          <w:rFonts w:ascii="Times New Roman" w:eastAsia="Times New Roman" w:hAnsi="Times New Roman" w:cs="Times New Roman"/>
          <w:color w:val="000000"/>
          <w:sz w:val="22"/>
          <w:szCs w:val="22"/>
        </w:rPr>
        <w:t xml:space="preserve">publicly visible. </w:t>
      </w:r>
      <w:r w:rsidR="00540509" w:rsidRPr="000116FB">
        <w:rPr>
          <w:rFonts w:ascii="Times New Roman" w:eastAsia="Times New Roman" w:hAnsi="Times New Roman" w:cs="Times New Roman"/>
          <w:color w:val="000000"/>
          <w:sz w:val="22"/>
          <w:szCs w:val="22"/>
        </w:rPr>
        <w:t>We also improved the manuscript to explain that s</w:t>
      </w:r>
      <w:r w:rsidR="00FF6E16" w:rsidRPr="000116FB">
        <w:rPr>
          <w:rFonts w:ascii="Times New Roman" w:eastAsia="Times New Roman" w:hAnsi="Times New Roman" w:cs="Times New Roman"/>
          <w:color w:val="000000"/>
          <w:sz w:val="22"/>
          <w:szCs w:val="22"/>
        </w:rPr>
        <w:t>ome</w:t>
      </w:r>
      <w:r w:rsidR="00836E5F" w:rsidRPr="000116FB">
        <w:rPr>
          <w:rFonts w:ascii="Times New Roman" w:eastAsia="Times New Roman" w:hAnsi="Times New Roman" w:cs="Times New Roman"/>
          <w:color w:val="000000"/>
          <w:sz w:val="22"/>
          <w:szCs w:val="22"/>
        </w:rPr>
        <w:t xml:space="preserve"> of th</w:t>
      </w:r>
      <w:r w:rsidR="00791BFF" w:rsidRPr="000116FB">
        <w:rPr>
          <w:rFonts w:ascii="Times New Roman" w:eastAsia="Times New Roman" w:hAnsi="Times New Roman" w:cs="Times New Roman"/>
          <w:color w:val="000000"/>
          <w:sz w:val="22"/>
          <w:szCs w:val="22"/>
        </w:rPr>
        <w:t xml:space="preserve">e </w:t>
      </w:r>
      <w:r w:rsidR="00540509" w:rsidRPr="000116FB">
        <w:rPr>
          <w:rFonts w:ascii="Times New Roman" w:eastAsia="Times New Roman" w:hAnsi="Times New Roman" w:cs="Times New Roman"/>
          <w:color w:val="000000"/>
          <w:sz w:val="22"/>
          <w:szCs w:val="22"/>
        </w:rPr>
        <w:t xml:space="preserve">samples analyzed here </w:t>
      </w:r>
      <w:r w:rsidR="00836E5F" w:rsidRPr="000116FB">
        <w:rPr>
          <w:rFonts w:ascii="Times New Roman" w:eastAsia="Times New Roman" w:hAnsi="Times New Roman" w:cs="Times New Roman"/>
          <w:color w:val="000000"/>
          <w:sz w:val="22"/>
          <w:szCs w:val="22"/>
        </w:rPr>
        <w:t xml:space="preserve">have been </w:t>
      </w:r>
      <w:r w:rsidR="00E74C0F" w:rsidRPr="000116FB">
        <w:rPr>
          <w:rFonts w:ascii="Times New Roman" w:eastAsia="Times New Roman" w:hAnsi="Times New Roman" w:cs="Times New Roman"/>
          <w:color w:val="000000"/>
          <w:sz w:val="22"/>
          <w:szCs w:val="22"/>
        </w:rPr>
        <w:t>submitted</w:t>
      </w:r>
      <w:r w:rsidR="00836E5F" w:rsidRPr="000116FB">
        <w:rPr>
          <w:rFonts w:ascii="Times New Roman" w:eastAsia="Times New Roman" w:hAnsi="Times New Roman" w:cs="Times New Roman"/>
          <w:color w:val="000000"/>
          <w:sz w:val="22"/>
          <w:szCs w:val="22"/>
        </w:rPr>
        <w:t xml:space="preserve"> to SRA more than once under different projects</w:t>
      </w:r>
      <w:r w:rsidR="00540509" w:rsidRPr="000116FB">
        <w:rPr>
          <w:rFonts w:ascii="Times New Roman" w:eastAsia="Times New Roman" w:hAnsi="Times New Roman" w:cs="Times New Roman"/>
          <w:color w:val="000000"/>
          <w:sz w:val="22"/>
          <w:szCs w:val="22"/>
        </w:rPr>
        <w:t xml:space="preserve">; the data table provides a correct unique accession number to allow readers to access the raw sequencing data without having to navigate the multiple </w:t>
      </w:r>
      <w:proofErr w:type="spellStart"/>
      <w:r w:rsidR="00540509" w:rsidRPr="000116FB">
        <w:rPr>
          <w:rFonts w:ascii="Times New Roman" w:eastAsia="Times New Roman" w:hAnsi="Times New Roman" w:cs="Times New Roman"/>
          <w:color w:val="000000"/>
          <w:sz w:val="22"/>
          <w:szCs w:val="22"/>
        </w:rPr>
        <w:t>BioProjects</w:t>
      </w:r>
      <w:proofErr w:type="spellEnd"/>
      <w:r w:rsidR="00540509" w:rsidRPr="000116FB">
        <w:rPr>
          <w:rFonts w:ascii="Times New Roman" w:eastAsia="Times New Roman" w:hAnsi="Times New Roman" w:cs="Times New Roman"/>
          <w:color w:val="000000"/>
          <w:sz w:val="22"/>
          <w:szCs w:val="22"/>
        </w:rPr>
        <w:t xml:space="preserve"> we submitted throughout the years</w:t>
      </w:r>
      <w:bookmarkEnd w:id="8"/>
      <w:bookmarkEnd w:id="9"/>
      <w:r w:rsidR="00E74C0F" w:rsidRPr="000116FB">
        <w:rPr>
          <w:rFonts w:ascii="Times New Roman" w:eastAsia="Times New Roman" w:hAnsi="Times New Roman" w:cs="Times New Roman"/>
          <w:color w:val="000000"/>
          <w:sz w:val="22"/>
          <w:szCs w:val="22"/>
        </w:rPr>
        <w:t xml:space="preserve"> (Lines </w:t>
      </w:r>
      <w:r w:rsidR="004B3349" w:rsidRPr="000116FB">
        <w:rPr>
          <w:rFonts w:ascii="Times New Roman" w:eastAsia="Times New Roman" w:hAnsi="Times New Roman" w:cs="Times New Roman"/>
          <w:color w:val="000000"/>
          <w:sz w:val="22"/>
          <w:szCs w:val="22"/>
        </w:rPr>
        <w:t>6</w:t>
      </w:r>
      <w:r w:rsidR="006267B5" w:rsidRPr="000116FB">
        <w:rPr>
          <w:rFonts w:ascii="Times New Roman" w:eastAsia="Times New Roman" w:hAnsi="Times New Roman" w:cs="Times New Roman"/>
          <w:color w:val="000000"/>
          <w:sz w:val="22"/>
          <w:szCs w:val="22"/>
        </w:rPr>
        <w:t>1-65</w:t>
      </w:r>
      <w:r w:rsidR="004B3349" w:rsidRPr="000116FB">
        <w:rPr>
          <w:rFonts w:ascii="Times New Roman" w:eastAsia="Times New Roman" w:hAnsi="Times New Roman" w:cs="Times New Roman"/>
          <w:color w:val="000000"/>
          <w:sz w:val="22"/>
          <w:szCs w:val="22"/>
        </w:rPr>
        <w:t xml:space="preserve">, </w:t>
      </w:r>
      <w:r w:rsidR="006267B5" w:rsidRPr="000116FB">
        <w:rPr>
          <w:rFonts w:ascii="Times New Roman" w:eastAsia="Times New Roman" w:hAnsi="Times New Roman" w:cs="Times New Roman"/>
          <w:color w:val="000000"/>
          <w:sz w:val="22"/>
          <w:szCs w:val="22"/>
        </w:rPr>
        <w:t>25</w:t>
      </w:r>
      <w:r w:rsidR="00366F15">
        <w:rPr>
          <w:rFonts w:ascii="Times New Roman" w:eastAsia="Times New Roman" w:hAnsi="Times New Roman" w:cs="Times New Roman"/>
          <w:color w:val="000000"/>
          <w:sz w:val="22"/>
          <w:szCs w:val="22"/>
        </w:rPr>
        <w:t>6</w:t>
      </w:r>
      <w:r w:rsidR="006267B5" w:rsidRPr="000116FB">
        <w:rPr>
          <w:rFonts w:ascii="Times New Roman" w:eastAsia="Times New Roman" w:hAnsi="Times New Roman" w:cs="Times New Roman"/>
          <w:color w:val="000000"/>
          <w:sz w:val="22"/>
          <w:szCs w:val="22"/>
        </w:rPr>
        <w:t>-25</w:t>
      </w:r>
      <w:r w:rsidR="00366F15">
        <w:rPr>
          <w:rFonts w:ascii="Times New Roman" w:eastAsia="Times New Roman" w:hAnsi="Times New Roman" w:cs="Times New Roman"/>
          <w:color w:val="000000"/>
          <w:sz w:val="22"/>
          <w:szCs w:val="22"/>
        </w:rPr>
        <w:t>7</w:t>
      </w:r>
      <w:r w:rsidR="00E74C0F" w:rsidRPr="000116FB">
        <w:rPr>
          <w:rFonts w:ascii="Times New Roman" w:eastAsia="Times New Roman" w:hAnsi="Times New Roman" w:cs="Times New Roman"/>
          <w:color w:val="000000"/>
          <w:sz w:val="22"/>
          <w:szCs w:val="22"/>
        </w:rPr>
        <w:t>).</w:t>
      </w:r>
    </w:p>
    <w:p w14:paraId="62FC835C" w14:textId="2431A8A8" w:rsidR="00085CF9" w:rsidRPr="000116FB" w:rsidRDefault="00085CF9" w:rsidP="002546FC">
      <w:pPr>
        <w:spacing w:after="240"/>
        <w:jc w:val="both"/>
        <w:rPr>
          <w:rFonts w:ascii="Times New Roman" w:eastAsia="Times New Roman" w:hAnsi="Times New Roman" w:cs="Times New Roman"/>
          <w:color w:val="000000"/>
          <w:sz w:val="22"/>
          <w:szCs w:val="22"/>
        </w:rPr>
      </w:pPr>
      <w:bookmarkStart w:id="10" w:name="OLE_LINK13"/>
      <w:bookmarkStart w:id="11" w:name="OLE_LINK14"/>
      <w:bookmarkStart w:id="12" w:name="OLE_LINK19"/>
      <w:r w:rsidRPr="000116FB">
        <w:rPr>
          <w:rFonts w:ascii="Times New Roman" w:eastAsia="Times New Roman" w:hAnsi="Times New Roman" w:cs="Times New Roman"/>
          <w:b/>
          <w:bCs/>
          <w:color w:val="000000"/>
          <w:sz w:val="22"/>
          <w:szCs w:val="22"/>
        </w:rPr>
        <w:t>Comment 3: “</w:t>
      </w:r>
      <w:bookmarkEnd w:id="10"/>
      <w:bookmarkEnd w:id="11"/>
      <w:bookmarkEnd w:id="12"/>
      <w:r w:rsidR="000F045E" w:rsidRPr="000116FB">
        <w:rPr>
          <w:rFonts w:ascii="Times New Roman" w:eastAsia="Times New Roman" w:hAnsi="Times New Roman" w:cs="Times New Roman"/>
          <w:i/>
          <w:iCs/>
          <w:color w:val="000000"/>
          <w:sz w:val="22"/>
          <w:szCs w:val="22"/>
          <w:shd w:val="clear" w:color="auto" w:fill="FFFFFF"/>
        </w:rPr>
        <w:t>The DADA2 taxonomic assignment is great because it doesn’t involve OTU picking. But it does use different “Amplicon Sequence Variants” (ASVs) for each sample, so conversion to wide format and naming of taxa is needed for most analysis. It would help some users to also provide a taxa x samples matrix version of the ASV table.</w:t>
      </w:r>
      <w:r w:rsidRPr="000116FB">
        <w:rPr>
          <w:rFonts w:ascii="Times New Roman" w:eastAsia="Times New Roman" w:hAnsi="Times New Roman" w:cs="Times New Roman"/>
          <w:b/>
          <w:bCs/>
          <w:color w:val="000000"/>
          <w:sz w:val="22"/>
          <w:szCs w:val="22"/>
          <w:shd w:val="clear" w:color="auto" w:fill="FFFFFF"/>
        </w:rPr>
        <w:t>”</w:t>
      </w:r>
    </w:p>
    <w:p w14:paraId="0C48565D" w14:textId="188CAE8F" w:rsidR="00085CF9" w:rsidRPr="000116FB" w:rsidRDefault="00414E96" w:rsidP="00320E21">
      <w:pPr>
        <w:spacing w:after="240"/>
        <w:jc w:val="both"/>
        <w:rPr>
          <w:rFonts w:ascii="Times New Roman" w:eastAsia="Times New Roman" w:hAnsi="Times New Roman" w:cs="Times New Roman"/>
          <w:color w:val="000000"/>
          <w:sz w:val="22"/>
          <w:szCs w:val="22"/>
        </w:rPr>
      </w:pPr>
      <w:bookmarkStart w:id="13" w:name="OLE_LINK38"/>
      <w:bookmarkStart w:id="14" w:name="OLE_LINK24"/>
      <w:bookmarkStart w:id="15" w:name="OLE_LINK25"/>
      <w:r w:rsidRPr="000116FB">
        <w:rPr>
          <w:rFonts w:ascii="Times New Roman" w:eastAsia="Times New Roman" w:hAnsi="Times New Roman" w:cs="Times New Roman"/>
          <w:b/>
          <w:bCs/>
          <w:color w:val="000000"/>
          <w:sz w:val="22"/>
          <w:szCs w:val="22"/>
        </w:rPr>
        <w:t>Author Response:</w:t>
      </w:r>
      <w:r w:rsidR="00547C8D" w:rsidRPr="000116FB">
        <w:rPr>
          <w:rFonts w:ascii="Times New Roman" w:eastAsia="Times New Roman" w:hAnsi="Times New Roman" w:cs="Times New Roman"/>
          <w:color w:val="000000"/>
          <w:sz w:val="22"/>
          <w:szCs w:val="22"/>
        </w:rPr>
        <w:t xml:space="preserve"> </w:t>
      </w:r>
      <w:bookmarkEnd w:id="13"/>
      <w:r w:rsidR="00CF6315" w:rsidRPr="000116FB">
        <w:rPr>
          <w:rFonts w:ascii="Times New Roman" w:eastAsia="Times New Roman" w:hAnsi="Times New Roman" w:cs="Times New Roman"/>
          <w:color w:val="000000"/>
          <w:sz w:val="22"/>
          <w:szCs w:val="22"/>
        </w:rPr>
        <w:t xml:space="preserve">We </w:t>
      </w:r>
      <w:r w:rsidR="00547C8D" w:rsidRPr="000116FB">
        <w:rPr>
          <w:rFonts w:ascii="Times New Roman" w:eastAsia="Times New Roman" w:hAnsi="Times New Roman" w:cs="Times New Roman"/>
          <w:color w:val="000000"/>
          <w:sz w:val="22"/>
          <w:szCs w:val="22"/>
        </w:rPr>
        <w:t xml:space="preserve">agree with the </w:t>
      </w:r>
      <w:r w:rsidR="008B0E29" w:rsidRPr="000116FB">
        <w:rPr>
          <w:rFonts w:ascii="Times New Roman" w:eastAsia="Times New Roman" w:hAnsi="Times New Roman" w:cs="Times New Roman"/>
          <w:color w:val="000000"/>
          <w:sz w:val="22"/>
          <w:szCs w:val="22"/>
        </w:rPr>
        <w:t>referee</w:t>
      </w:r>
      <w:r w:rsidR="00547C8D" w:rsidRPr="000116FB">
        <w:rPr>
          <w:rFonts w:ascii="Times New Roman" w:eastAsia="Times New Roman" w:hAnsi="Times New Roman" w:cs="Times New Roman"/>
          <w:color w:val="000000"/>
          <w:sz w:val="22"/>
          <w:szCs w:val="22"/>
        </w:rPr>
        <w:t xml:space="preserve"> that a taxa-by-sample table </w:t>
      </w:r>
      <w:r w:rsidR="00F84702" w:rsidRPr="000116FB">
        <w:rPr>
          <w:rFonts w:ascii="Times New Roman" w:eastAsia="Times New Roman" w:hAnsi="Times New Roman" w:cs="Times New Roman" w:hint="eastAsia"/>
          <w:color w:val="000000"/>
          <w:sz w:val="22"/>
          <w:szCs w:val="22"/>
        </w:rPr>
        <w:t>of</w:t>
      </w:r>
      <w:r w:rsidR="00F84702" w:rsidRPr="000116FB">
        <w:rPr>
          <w:rFonts w:ascii="Times New Roman" w:eastAsia="Times New Roman" w:hAnsi="Times New Roman" w:cs="Times New Roman"/>
          <w:color w:val="000000"/>
          <w:sz w:val="22"/>
          <w:szCs w:val="22"/>
        </w:rPr>
        <w:t xml:space="preserve"> </w:t>
      </w:r>
      <w:r w:rsidR="00F84702" w:rsidRPr="000116FB">
        <w:rPr>
          <w:rFonts w:ascii="Times New Roman" w:eastAsia="Times New Roman" w:hAnsi="Times New Roman" w:cs="Times New Roman" w:hint="eastAsia"/>
          <w:color w:val="000000"/>
          <w:sz w:val="22"/>
          <w:szCs w:val="22"/>
        </w:rPr>
        <w:t>relative</w:t>
      </w:r>
      <w:r w:rsidR="00F84702" w:rsidRPr="000116FB">
        <w:rPr>
          <w:rFonts w:ascii="Times New Roman" w:eastAsia="Times New Roman" w:hAnsi="Times New Roman" w:cs="Times New Roman"/>
          <w:color w:val="000000"/>
          <w:sz w:val="22"/>
          <w:szCs w:val="22"/>
        </w:rPr>
        <w:t xml:space="preserve"> abundance </w:t>
      </w:r>
      <w:r w:rsidR="00547C8D" w:rsidRPr="000116FB">
        <w:rPr>
          <w:rFonts w:ascii="Times New Roman" w:eastAsia="Times New Roman" w:hAnsi="Times New Roman" w:cs="Times New Roman"/>
          <w:color w:val="000000"/>
          <w:sz w:val="22"/>
          <w:szCs w:val="22"/>
        </w:rPr>
        <w:t xml:space="preserve">may be convenient for readers who will reuse our data. </w:t>
      </w:r>
      <w:r w:rsidR="00C34236" w:rsidRPr="000116FB">
        <w:rPr>
          <w:rFonts w:ascii="Times New Roman" w:eastAsia="Times New Roman" w:hAnsi="Times New Roman" w:cs="Times New Roman"/>
          <w:color w:val="000000"/>
          <w:sz w:val="22"/>
          <w:szCs w:val="22"/>
        </w:rPr>
        <w:t>W</w:t>
      </w:r>
      <w:r w:rsidR="00547C8D" w:rsidRPr="000116FB">
        <w:rPr>
          <w:rFonts w:ascii="Times New Roman" w:eastAsia="Times New Roman" w:hAnsi="Times New Roman" w:cs="Times New Roman"/>
          <w:color w:val="000000"/>
          <w:sz w:val="22"/>
          <w:szCs w:val="22"/>
        </w:rPr>
        <w:t xml:space="preserve">e </w:t>
      </w:r>
      <w:r w:rsidR="00C34236" w:rsidRPr="000116FB">
        <w:rPr>
          <w:rFonts w:ascii="Times New Roman" w:eastAsia="Times New Roman" w:hAnsi="Times New Roman" w:cs="Times New Roman"/>
          <w:color w:val="000000"/>
          <w:sz w:val="22"/>
          <w:szCs w:val="22"/>
        </w:rPr>
        <w:t xml:space="preserve">now </w:t>
      </w:r>
      <w:r w:rsidR="00547C8D" w:rsidRPr="000116FB">
        <w:rPr>
          <w:rFonts w:ascii="Times New Roman" w:eastAsia="Times New Roman" w:hAnsi="Times New Roman" w:cs="Times New Roman"/>
          <w:color w:val="000000"/>
          <w:sz w:val="22"/>
          <w:szCs w:val="22"/>
        </w:rPr>
        <w:t xml:space="preserve">provide such tables at different taxonomic levels (ASV, genus, family, order, class, phylum) and describe these tables in the manuscript (Lines </w:t>
      </w:r>
      <w:r w:rsidR="006358BD" w:rsidRPr="000116FB">
        <w:rPr>
          <w:rFonts w:ascii="Times New Roman" w:eastAsia="Times New Roman" w:hAnsi="Times New Roman" w:cs="Times New Roman"/>
          <w:color w:val="000000"/>
          <w:sz w:val="22"/>
          <w:szCs w:val="22"/>
        </w:rPr>
        <w:t>18</w:t>
      </w:r>
      <w:r w:rsidR="005A70F7">
        <w:rPr>
          <w:rFonts w:ascii="Times New Roman" w:eastAsia="Times New Roman" w:hAnsi="Times New Roman" w:cs="Times New Roman"/>
          <w:color w:val="000000"/>
          <w:sz w:val="22"/>
          <w:szCs w:val="22"/>
        </w:rPr>
        <w:t>3</w:t>
      </w:r>
      <w:r w:rsidR="006358BD" w:rsidRPr="000116FB">
        <w:rPr>
          <w:rFonts w:ascii="Times New Roman" w:eastAsia="Times New Roman" w:hAnsi="Times New Roman" w:cs="Times New Roman"/>
          <w:color w:val="000000"/>
          <w:sz w:val="22"/>
          <w:szCs w:val="22"/>
        </w:rPr>
        <w:t>-18</w:t>
      </w:r>
      <w:r w:rsidR="005A70F7">
        <w:rPr>
          <w:rFonts w:ascii="Times New Roman" w:eastAsia="Times New Roman" w:hAnsi="Times New Roman" w:cs="Times New Roman"/>
          <w:color w:val="000000"/>
          <w:sz w:val="22"/>
          <w:szCs w:val="22"/>
        </w:rPr>
        <w:t>4</w:t>
      </w:r>
      <w:r w:rsidR="00547C8D" w:rsidRPr="000116FB">
        <w:rPr>
          <w:rFonts w:ascii="Times New Roman" w:eastAsia="Times New Roman" w:hAnsi="Times New Roman" w:cs="Times New Roman"/>
          <w:color w:val="000000"/>
          <w:sz w:val="22"/>
          <w:szCs w:val="22"/>
        </w:rPr>
        <w:t>).</w:t>
      </w:r>
    </w:p>
    <w:bookmarkEnd w:id="14"/>
    <w:bookmarkEnd w:id="15"/>
    <w:p w14:paraId="3665271A" w14:textId="5CA87B2B" w:rsidR="00085CF9" w:rsidRPr="000116FB" w:rsidRDefault="000F045E" w:rsidP="0084230E">
      <w:pPr>
        <w:spacing w:after="240"/>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lastRenderedPageBreak/>
        <w:br/>
      </w:r>
      <w:bookmarkStart w:id="16" w:name="OLE_LINK15"/>
      <w:bookmarkStart w:id="17" w:name="OLE_LINK16"/>
      <w:r w:rsidR="00085CF9" w:rsidRPr="000116FB">
        <w:rPr>
          <w:rFonts w:ascii="Times New Roman" w:eastAsia="Times New Roman" w:hAnsi="Times New Roman" w:cs="Times New Roman"/>
          <w:b/>
          <w:bCs/>
          <w:color w:val="000000"/>
          <w:sz w:val="22"/>
          <w:szCs w:val="22"/>
        </w:rPr>
        <w:t>Comment 4: “</w:t>
      </w:r>
      <w:bookmarkEnd w:id="16"/>
      <w:bookmarkEnd w:id="17"/>
      <w:r w:rsidRPr="000116FB">
        <w:rPr>
          <w:rFonts w:ascii="Times New Roman" w:eastAsia="Times New Roman" w:hAnsi="Times New Roman" w:cs="Times New Roman"/>
          <w:i/>
          <w:iCs/>
          <w:color w:val="000000"/>
          <w:sz w:val="22"/>
          <w:szCs w:val="22"/>
          <w:shd w:val="clear" w:color="auto" w:fill="FFFFFF"/>
        </w:rPr>
        <w:t>Minor:</w:t>
      </w:r>
      <w:r w:rsidR="0084230E" w:rsidRPr="000116FB">
        <w:rPr>
          <w:rFonts w:ascii="Times New Roman" w:eastAsia="Times New Roman" w:hAnsi="Times New Roman" w:cs="Times New Roman"/>
          <w:i/>
          <w:iCs/>
          <w:color w:val="000000"/>
          <w:sz w:val="22"/>
          <w:szCs w:val="22"/>
          <w:shd w:val="clear" w:color="auto" w:fill="FFFFFF"/>
        </w:rPr>
        <w:t xml:space="preserve"> </w:t>
      </w:r>
      <w:r w:rsidRPr="000116FB">
        <w:rPr>
          <w:rFonts w:ascii="Times New Roman" w:eastAsia="Times New Roman" w:hAnsi="Times New Roman" w:cs="Times New Roman"/>
          <w:i/>
          <w:iCs/>
          <w:color w:val="000000"/>
          <w:sz w:val="22"/>
          <w:szCs w:val="22"/>
          <w:shd w:val="clear" w:color="auto" w:fill="FFFFFF"/>
        </w:rPr>
        <w:t>The second fig share URL has an error (</w:t>
      </w:r>
      <w:hyperlink r:id="rId6" w:history="1">
        <w:r w:rsidRPr="000116FB">
          <w:rPr>
            <w:rFonts w:ascii="Times New Roman" w:eastAsia="Times New Roman" w:hAnsi="Times New Roman" w:cs="Times New Roman"/>
            <w:i/>
            <w:iCs/>
            <w:color w:val="0000FF"/>
            <w:sz w:val="22"/>
            <w:szCs w:val="22"/>
            <w:u w:val="single"/>
            <w:shd w:val="clear" w:color="auto" w:fill="FFFFFF"/>
          </w:rPr>
          <w:t>https://doi/org/10.6084/m9.figshare.12016989</w:t>
        </w:r>
      </w:hyperlink>
      <w:r w:rsidRPr="000116FB">
        <w:rPr>
          <w:rFonts w:ascii="Times New Roman" w:eastAsia="Times New Roman" w:hAnsi="Times New Roman" w:cs="Times New Roman"/>
          <w:i/>
          <w:iCs/>
          <w:color w:val="000000"/>
          <w:sz w:val="22"/>
          <w:szCs w:val="22"/>
          <w:shd w:val="clear" w:color="auto" w:fill="FFFFFF"/>
        </w:rPr>
        <w:t xml:space="preserve"> - should be doi.org, not </w:t>
      </w:r>
      <w:proofErr w:type="spellStart"/>
      <w:r w:rsidRPr="000116FB">
        <w:rPr>
          <w:rFonts w:ascii="Times New Roman" w:eastAsia="Times New Roman" w:hAnsi="Times New Roman" w:cs="Times New Roman"/>
          <w:i/>
          <w:iCs/>
          <w:color w:val="000000"/>
          <w:sz w:val="22"/>
          <w:szCs w:val="22"/>
          <w:shd w:val="clear" w:color="auto" w:fill="FFFFFF"/>
        </w:rPr>
        <w:t>doi</w:t>
      </w:r>
      <w:proofErr w:type="spellEnd"/>
      <w:r w:rsidRPr="000116FB">
        <w:rPr>
          <w:rFonts w:ascii="Times New Roman" w:eastAsia="Times New Roman" w:hAnsi="Times New Roman" w:cs="Times New Roman"/>
          <w:i/>
          <w:iCs/>
          <w:color w:val="000000"/>
          <w:sz w:val="22"/>
          <w:szCs w:val="22"/>
          <w:shd w:val="clear" w:color="auto" w:fill="FFFFFF"/>
        </w:rPr>
        <w:t>/org)</w:t>
      </w:r>
      <w:r w:rsidR="00085CF9" w:rsidRPr="000116FB">
        <w:rPr>
          <w:rFonts w:ascii="Times New Roman" w:eastAsia="Times New Roman" w:hAnsi="Times New Roman" w:cs="Times New Roman"/>
          <w:b/>
          <w:bCs/>
          <w:color w:val="000000"/>
          <w:sz w:val="22"/>
          <w:szCs w:val="22"/>
          <w:shd w:val="clear" w:color="auto" w:fill="FFFFFF"/>
        </w:rPr>
        <w:t>”</w:t>
      </w:r>
    </w:p>
    <w:p w14:paraId="5AB3B5E1" w14:textId="2D5E038E" w:rsidR="002A2CFB" w:rsidRPr="000116FB" w:rsidRDefault="002A2CFB" w:rsidP="002D3600">
      <w:pPr>
        <w:spacing w:after="240"/>
        <w:jc w:val="both"/>
        <w:rPr>
          <w:rFonts w:ascii="Times New Roman" w:eastAsia="Times New Roman" w:hAnsi="Times New Roman" w:cs="Times New Roman"/>
          <w:color w:val="000000"/>
          <w:sz w:val="22"/>
          <w:szCs w:val="22"/>
        </w:rPr>
      </w:pPr>
      <w:bookmarkStart w:id="18" w:name="OLE_LINK41"/>
      <w:bookmarkStart w:id="19" w:name="OLE_LINK42"/>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t>
      </w:r>
      <w:r w:rsidR="00250E25" w:rsidRPr="000116FB">
        <w:rPr>
          <w:rFonts w:ascii="Times New Roman" w:eastAsia="Times New Roman" w:hAnsi="Times New Roman" w:cs="Times New Roman"/>
          <w:color w:val="000000"/>
          <w:sz w:val="22"/>
          <w:szCs w:val="22"/>
        </w:rPr>
        <w:t>Thanks for pointing out</w:t>
      </w:r>
      <w:r w:rsidRPr="000116FB">
        <w:rPr>
          <w:rFonts w:ascii="Times New Roman" w:eastAsia="Times New Roman" w:hAnsi="Times New Roman" w:cs="Times New Roman"/>
          <w:color w:val="000000"/>
          <w:sz w:val="22"/>
          <w:szCs w:val="22"/>
        </w:rPr>
        <w:t xml:space="preserve"> the typo.</w:t>
      </w:r>
      <w:r w:rsidR="00250E25" w:rsidRPr="000116FB">
        <w:rPr>
          <w:rFonts w:ascii="Times New Roman" w:eastAsia="Times New Roman" w:hAnsi="Times New Roman" w:cs="Times New Roman"/>
          <w:color w:val="000000"/>
          <w:sz w:val="22"/>
          <w:szCs w:val="22"/>
        </w:rPr>
        <w:t xml:space="preserve"> </w:t>
      </w:r>
      <w:r w:rsidR="00183B57" w:rsidRPr="000116FB">
        <w:rPr>
          <w:rFonts w:ascii="Times New Roman" w:eastAsia="Times New Roman" w:hAnsi="Times New Roman" w:cs="Times New Roman"/>
          <w:color w:val="000000"/>
          <w:sz w:val="22"/>
          <w:szCs w:val="22"/>
        </w:rPr>
        <w:t xml:space="preserve">We have </w:t>
      </w:r>
      <w:r w:rsidR="004F2F27" w:rsidRPr="000116FB">
        <w:rPr>
          <w:rFonts w:ascii="Times New Roman" w:eastAsia="Times New Roman" w:hAnsi="Times New Roman" w:cs="Times New Roman"/>
          <w:color w:val="000000"/>
          <w:sz w:val="22"/>
          <w:szCs w:val="22"/>
        </w:rPr>
        <w:t xml:space="preserve">merged </w:t>
      </w:r>
      <w:r w:rsidR="00183B57" w:rsidRPr="000116FB">
        <w:rPr>
          <w:rFonts w:ascii="Times New Roman" w:eastAsia="Times New Roman" w:hAnsi="Times New Roman" w:cs="Times New Roman"/>
          <w:color w:val="000000"/>
          <w:sz w:val="22"/>
          <w:szCs w:val="22"/>
        </w:rPr>
        <w:t xml:space="preserve">all four folders into </w:t>
      </w:r>
      <w:r w:rsidR="004F2F27" w:rsidRPr="000116FB">
        <w:rPr>
          <w:rFonts w:ascii="Times New Roman" w:eastAsia="Times New Roman" w:hAnsi="Times New Roman" w:cs="Times New Roman"/>
          <w:color w:val="000000"/>
          <w:sz w:val="22"/>
          <w:szCs w:val="22"/>
        </w:rPr>
        <w:t>one</w:t>
      </w:r>
      <w:r w:rsidR="00183B57" w:rsidRPr="000116FB">
        <w:rPr>
          <w:rFonts w:ascii="Times New Roman" w:eastAsia="Times New Roman" w:hAnsi="Times New Roman" w:cs="Times New Roman"/>
          <w:color w:val="000000"/>
          <w:sz w:val="22"/>
          <w:szCs w:val="22"/>
        </w:rPr>
        <w:t xml:space="preserve"> collection</w:t>
      </w:r>
      <w:r w:rsidR="009C749A">
        <w:rPr>
          <w:rFonts w:ascii="Times New Roman" w:eastAsia="Times New Roman" w:hAnsi="Times New Roman" w:cs="Times New Roman"/>
          <w:color w:val="000000"/>
          <w:sz w:val="22"/>
          <w:szCs w:val="22"/>
        </w:rPr>
        <w:t xml:space="preserve"> </w:t>
      </w:r>
      <w:r w:rsidR="00183B57" w:rsidRPr="000116FB">
        <w:rPr>
          <w:rFonts w:ascii="Times New Roman" w:eastAsia="Times New Roman" w:hAnsi="Times New Roman" w:cs="Times New Roman"/>
          <w:color w:val="000000"/>
          <w:sz w:val="22"/>
          <w:szCs w:val="22"/>
        </w:rPr>
        <w:t>and, therefore, t</w:t>
      </w:r>
      <w:r w:rsidR="00250E25" w:rsidRPr="000116FB">
        <w:rPr>
          <w:rFonts w:ascii="Times New Roman" w:eastAsia="Times New Roman" w:hAnsi="Times New Roman" w:cs="Times New Roman"/>
          <w:color w:val="000000"/>
          <w:sz w:val="22"/>
          <w:szCs w:val="22"/>
        </w:rPr>
        <w:t xml:space="preserve">he four </w:t>
      </w:r>
      <w:proofErr w:type="spellStart"/>
      <w:r w:rsidR="00250E25" w:rsidRPr="000116FB">
        <w:rPr>
          <w:rFonts w:ascii="Times New Roman" w:eastAsia="Times New Roman" w:hAnsi="Times New Roman" w:cs="Times New Roman"/>
          <w:color w:val="000000"/>
          <w:sz w:val="22"/>
          <w:szCs w:val="22"/>
        </w:rPr>
        <w:t>figshare</w:t>
      </w:r>
      <w:proofErr w:type="spellEnd"/>
      <w:r w:rsidR="00250E25" w:rsidRPr="000116FB">
        <w:rPr>
          <w:rFonts w:ascii="Times New Roman" w:eastAsia="Times New Roman" w:hAnsi="Times New Roman" w:cs="Times New Roman"/>
          <w:color w:val="000000"/>
          <w:sz w:val="22"/>
          <w:szCs w:val="22"/>
        </w:rPr>
        <w:t xml:space="preserve"> URLs (including the incorrect one) </w:t>
      </w:r>
      <w:r w:rsidR="00CC5051" w:rsidRPr="000116FB">
        <w:rPr>
          <w:rFonts w:ascii="Times New Roman" w:eastAsia="Times New Roman" w:hAnsi="Times New Roman" w:cs="Times New Roman"/>
          <w:color w:val="000000"/>
          <w:sz w:val="22"/>
          <w:szCs w:val="22"/>
        </w:rPr>
        <w:t>has been replaced by a single</w:t>
      </w:r>
      <w:r w:rsidR="00250E25" w:rsidRPr="000116FB">
        <w:rPr>
          <w:rFonts w:ascii="Times New Roman" w:eastAsia="Times New Roman" w:hAnsi="Times New Roman" w:cs="Times New Roman"/>
          <w:color w:val="000000"/>
          <w:sz w:val="22"/>
          <w:szCs w:val="22"/>
        </w:rPr>
        <w:t xml:space="preserve"> URL for the entire data c</w:t>
      </w:r>
      <w:r w:rsidR="009C1071" w:rsidRPr="000116FB">
        <w:rPr>
          <w:rFonts w:ascii="Times New Roman" w:eastAsia="Times New Roman" w:hAnsi="Times New Roman" w:cs="Times New Roman"/>
          <w:color w:val="000000"/>
          <w:sz w:val="22"/>
          <w:szCs w:val="22"/>
        </w:rPr>
        <w:t>ollection</w:t>
      </w:r>
      <w:r w:rsidR="004D1D97" w:rsidRPr="000116FB">
        <w:rPr>
          <w:rFonts w:ascii="Times New Roman" w:eastAsia="Times New Roman" w:hAnsi="Times New Roman" w:cs="Times New Roman"/>
          <w:color w:val="000000"/>
          <w:sz w:val="22"/>
          <w:szCs w:val="22"/>
        </w:rPr>
        <w:t xml:space="preserve"> </w:t>
      </w:r>
      <w:r w:rsidR="009C1071" w:rsidRPr="000116FB">
        <w:rPr>
          <w:rFonts w:ascii="Times New Roman" w:eastAsia="Times New Roman" w:hAnsi="Times New Roman" w:cs="Times New Roman"/>
          <w:color w:val="000000"/>
          <w:sz w:val="22"/>
          <w:szCs w:val="22"/>
        </w:rPr>
        <w:t>(</w:t>
      </w:r>
      <w:bookmarkStart w:id="20" w:name="OLE_LINK157"/>
      <w:bookmarkStart w:id="21" w:name="OLE_LINK158"/>
      <w:r w:rsidR="00CC5051" w:rsidRPr="000116FB">
        <w:rPr>
          <w:rFonts w:ascii="Times New Roman" w:eastAsia="Times New Roman" w:hAnsi="Times New Roman" w:cs="Times New Roman"/>
          <w:color w:val="000000"/>
          <w:sz w:val="22"/>
          <w:szCs w:val="22"/>
        </w:rPr>
        <w:fldChar w:fldCharType="begin"/>
      </w:r>
      <w:r w:rsidR="00CC5051" w:rsidRPr="000116FB">
        <w:rPr>
          <w:rFonts w:ascii="Times New Roman" w:eastAsia="Times New Roman" w:hAnsi="Times New Roman" w:cs="Times New Roman"/>
          <w:color w:val="000000"/>
          <w:sz w:val="22"/>
          <w:szCs w:val="22"/>
        </w:rPr>
        <w:instrText xml:space="preserve"> HYPERLINK "https://doi.org/10.6084/m9.figshare.c.5271128.v1" </w:instrText>
      </w:r>
      <w:r w:rsidR="00CC5051" w:rsidRPr="000116FB">
        <w:rPr>
          <w:rFonts w:ascii="Times New Roman" w:eastAsia="Times New Roman" w:hAnsi="Times New Roman" w:cs="Times New Roman"/>
          <w:color w:val="000000"/>
          <w:sz w:val="22"/>
          <w:szCs w:val="22"/>
        </w:rPr>
        <w:fldChar w:fldCharType="separate"/>
      </w:r>
      <w:r w:rsidR="009C1071" w:rsidRPr="000116FB">
        <w:rPr>
          <w:rStyle w:val="Hyperlink"/>
          <w:rFonts w:ascii="Times New Roman" w:eastAsia="Times New Roman" w:hAnsi="Times New Roman" w:cs="Times New Roman"/>
          <w:sz w:val="22"/>
          <w:szCs w:val="22"/>
        </w:rPr>
        <w:t>https://doi.org/10.6084/m9.figshare.c.5271128.v1</w:t>
      </w:r>
      <w:bookmarkEnd w:id="20"/>
      <w:bookmarkEnd w:id="21"/>
      <w:r w:rsidR="00CC5051" w:rsidRPr="000116FB">
        <w:rPr>
          <w:rFonts w:ascii="Times New Roman" w:eastAsia="Times New Roman" w:hAnsi="Times New Roman" w:cs="Times New Roman"/>
          <w:color w:val="000000"/>
          <w:sz w:val="22"/>
          <w:szCs w:val="22"/>
        </w:rPr>
        <w:fldChar w:fldCharType="end"/>
      </w:r>
      <w:r w:rsidR="009C1071" w:rsidRPr="000116FB">
        <w:rPr>
          <w:rFonts w:ascii="Times New Roman" w:eastAsia="Times New Roman" w:hAnsi="Times New Roman" w:cs="Times New Roman"/>
          <w:color w:val="000000"/>
          <w:sz w:val="22"/>
          <w:szCs w:val="22"/>
        </w:rPr>
        <w:t>).</w:t>
      </w:r>
    </w:p>
    <w:p w14:paraId="7551BE9C" w14:textId="77777777" w:rsidR="00A91077" w:rsidRPr="000116FB" w:rsidRDefault="00085CF9" w:rsidP="00E77849">
      <w:pPr>
        <w:spacing w:after="240"/>
        <w:jc w:val="both"/>
        <w:rPr>
          <w:rFonts w:ascii="Times New Roman" w:eastAsia="Times New Roman" w:hAnsi="Times New Roman" w:cs="Times New Roman"/>
          <w:b/>
          <w:bCs/>
          <w:color w:val="000000"/>
          <w:sz w:val="22"/>
          <w:szCs w:val="22"/>
          <w:shd w:val="clear" w:color="auto" w:fill="FFFFFF"/>
        </w:rPr>
      </w:pPr>
      <w:bookmarkStart w:id="22" w:name="OLE_LINK20"/>
      <w:bookmarkStart w:id="23" w:name="OLE_LINK21"/>
      <w:bookmarkEnd w:id="18"/>
      <w:bookmarkEnd w:id="19"/>
      <w:r w:rsidRPr="000116FB">
        <w:rPr>
          <w:rFonts w:ascii="Times New Roman" w:eastAsia="Times New Roman" w:hAnsi="Times New Roman" w:cs="Times New Roman"/>
          <w:b/>
          <w:bCs/>
          <w:color w:val="000000"/>
          <w:sz w:val="22"/>
          <w:szCs w:val="22"/>
        </w:rPr>
        <w:t>Comment 5: “</w:t>
      </w:r>
      <w:bookmarkEnd w:id="22"/>
      <w:bookmarkEnd w:id="23"/>
      <w:r w:rsidR="000F045E" w:rsidRPr="000116FB">
        <w:rPr>
          <w:rFonts w:ascii="Times New Roman" w:eastAsia="Times New Roman" w:hAnsi="Times New Roman" w:cs="Times New Roman"/>
          <w:i/>
          <w:iCs/>
          <w:color w:val="000000"/>
          <w:sz w:val="22"/>
          <w:szCs w:val="22"/>
          <w:shd w:val="clear" w:color="auto" w:fill="FFFFFF"/>
        </w:rPr>
        <w:t>Folder “samples” and Folder “taxonomy” – these are provided as files, not folders.</w:t>
      </w:r>
      <w:r w:rsidRPr="000116FB">
        <w:rPr>
          <w:rFonts w:ascii="Times New Roman" w:eastAsia="Times New Roman" w:hAnsi="Times New Roman" w:cs="Times New Roman"/>
          <w:b/>
          <w:bCs/>
          <w:color w:val="000000"/>
          <w:sz w:val="22"/>
          <w:szCs w:val="22"/>
          <w:shd w:val="clear" w:color="auto" w:fill="FFFFFF"/>
        </w:rPr>
        <w:t>”</w:t>
      </w:r>
    </w:p>
    <w:p w14:paraId="4BD89A00" w14:textId="1CC01A7A" w:rsidR="00A04537" w:rsidRPr="000116FB" w:rsidRDefault="002A2CFB" w:rsidP="00213408">
      <w:pPr>
        <w:spacing w:after="240"/>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We </w:t>
      </w:r>
      <w:r w:rsidR="003243BE" w:rsidRPr="000116FB">
        <w:rPr>
          <w:rFonts w:ascii="Times New Roman" w:eastAsia="Times New Roman" w:hAnsi="Times New Roman" w:cs="Times New Roman"/>
          <w:color w:val="000000"/>
          <w:sz w:val="22"/>
          <w:szCs w:val="22"/>
        </w:rPr>
        <w:t xml:space="preserve">had </w:t>
      </w:r>
      <w:r w:rsidRPr="000116FB">
        <w:rPr>
          <w:rFonts w:ascii="Times New Roman" w:eastAsia="Times New Roman" w:hAnsi="Times New Roman" w:cs="Times New Roman"/>
          <w:color w:val="000000"/>
          <w:sz w:val="22"/>
          <w:szCs w:val="22"/>
        </w:rPr>
        <w:t xml:space="preserve">created folders for “samples” and “taxonomy” </w:t>
      </w:r>
      <w:r w:rsidR="003243BE" w:rsidRPr="000116FB">
        <w:rPr>
          <w:rFonts w:ascii="Times New Roman" w:eastAsia="Times New Roman" w:hAnsi="Times New Roman" w:cs="Times New Roman"/>
          <w:color w:val="000000"/>
          <w:sz w:val="22"/>
          <w:szCs w:val="22"/>
        </w:rPr>
        <w:t>deliberately</w:t>
      </w:r>
      <w:r w:rsidRPr="000116FB">
        <w:rPr>
          <w:rFonts w:ascii="Times New Roman" w:eastAsia="Times New Roman" w:hAnsi="Times New Roman" w:cs="Times New Roman"/>
          <w:color w:val="000000"/>
          <w:sz w:val="22"/>
          <w:szCs w:val="22"/>
        </w:rPr>
        <w:t>. Although there is a single file in each folder</w:t>
      </w:r>
      <w:r w:rsidR="00A04537" w:rsidRPr="000116FB">
        <w:rPr>
          <w:rFonts w:ascii="Times New Roman" w:eastAsia="Times New Roman" w:hAnsi="Times New Roman" w:cs="Times New Roman"/>
          <w:color w:val="000000"/>
          <w:sz w:val="22"/>
          <w:szCs w:val="22"/>
        </w:rPr>
        <w:t xml:space="preserve"> at the moment</w:t>
      </w:r>
      <w:r w:rsidRPr="000116FB">
        <w:rPr>
          <w:rFonts w:ascii="Times New Roman" w:eastAsia="Times New Roman" w:hAnsi="Times New Roman" w:cs="Times New Roman"/>
          <w:color w:val="000000"/>
          <w:sz w:val="22"/>
          <w:szCs w:val="22"/>
        </w:rPr>
        <w:t xml:space="preserve">, we expect to expand the contents of these folders </w:t>
      </w:r>
      <w:bookmarkStart w:id="24" w:name="OLE_LINK39"/>
      <w:bookmarkStart w:id="25" w:name="OLE_LINK40"/>
      <w:r w:rsidRPr="000116FB">
        <w:rPr>
          <w:rFonts w:ascii="Times New Roman" w:eastAsia="Times New Roman" w:hAnsi="Times New Roman" w:cs="Times New Roman"/>
          <w:color w:val="000000"/>
          <w:sz w:val="22"/>
          <w:szCs w:val="22"/>
        </w:rPr>
        <w:t xml:space="preserve">by </w:t>
      </w:r>
      <w:bookmarkEnd w:id="24"/>
      <w:bookmarkEnd w:id="25"/>
      <w:r w:rsidRPr="000116FB">
        <w:rPr>
          <w:rFonts w:ascii="Times New Roman" w:eastAsia="Times New Roman" w:hAnsi="Times New Roman" w:cs="Times New Roman"/>
          <w:color w:val="000000"/>
          <w:sz w:val="22"/>
          <w:szCs w:val="22"/>
        </w:rPr>
        <w:t xml:space="preserve">cleaning up more data in the future. For example, </w:t>
      </w:r>
      <w:r w:rsidR="00A04537" w:rsidRPr="000116FB">
        <w:rPr>
          <w:rFonts w:ascii="Times New Roman" w:eastAsia="Times New Roman" w:hAnsi="Times New Roman" w:cs="Times New Roman"/>
          <w:color w:val="000000"/>
          <w:sz w:val="22"/>
          <w:szCs w:val="22"/>
        </w:rPr>
        <w:t xml:space="preserve">the </w:t>
      </w:r>
      <w:bookmarkStart w:id="26" w:name="OLE_LINK45"/>
      <w:bookmarkStart w:id="27" w:name="OLE_LINK46"/>
      <w:r w:rsidR="00A04537" w:rsidRPr="000116FB">
        <w:rPr>
          <w:rFonts w:ascii="Times New Roman" w:eastAsia="Times New Roman" w:hAnsi="Times New Roman" w:cs="Times New Roman"/>
          <w:color w:val="000000"/>
          <w:sz w:val="22"/>
          <w:szCs w:val="22"/>
        </w:rPr>
        <w:t xml:space="preserve">taxonomic classification of fungal ITS sequences </w:t>
      </w:r>
      <w:bookmarkEnd w:id="26"/>
      <w:bookmarkEnd w:id="27"/>
      <w:r w:rsidR="00A04537" w:rsidRPr="000116FB">
        <w:rPr>
          <w:rFonts w:ascii="Times New Roman" w:eastAsia="Times New Roman" w:hAnsi="Times New Roman" w:cs="Times New Roman"/>
          <w:color w:val="000000"/>
          <w:sz w:val="22"/>
          <w:szCs w:val="22"/>
        </w:rPr>
        <w:t xml:space="preserve">may be saved to a different </w:t>
      </w:r>
      <w:r w:rsidR="003D18D6" w:rsidRPr="000116FB">
        <w:rPr>
          <w:rFonts w:ascii="Times New Roman" w:eastAsia="Times New Roman" w:hAnsi="Times New Roman" w:cs="Times New Roman"/>
          <w:color w:val="000000"/>
          <w:sz w:val="22"/>
          <w:szCs w:val="22"/>
        </w:rPr>
        <w:t>file in the “taxonomy” folder.</w:t>
      </w:r>
      <w:r w:rsidR="00957D4F" w:rsidRPr="000116FB">
        <w:rPr>
          <w:rFonts w:ascii="Times New Roman" w:eastAsia="Times New Roman" w:hAnsi="Times New Roman" w:cs="Times New Roman"/>
          <w:color w:val="000000"/>
          <w:sz w:val="22"/>
          <w:szCs w:val="22"/>
        </w:rPr>
        <w:t xml:space="preserve"> We explained our </w:t>
      </w:r>
      <w:r w:rsidR="003243BE" w:rsidRPr="000116FB">
        <w:rPr>
          <w:rFonts w:ascii="Times New Roman" w:eastAsia="Times New Roman" w:hAnsi="Times New Roman" w:cs="Times New Roman"/>
          <w:color w:val="000000"/>
          <w:sz w:val="22"/>
          <w:szCs w:val="22"/>
        </w:rPr>
        <w:t xml:space="preserve">reasons </w:t>
      </w:r>
      <w:r w:rsidR="00957D4F" w:rsidRPr="000116FB">
        <w:rPr>
          <w:rFonts w:ascii="Times New Roman" w:eastAsia="Times New Roman" w:hAnsi="Times New Roman" w:cs="Times New Roman"/>
          <w:color w:val="000000"/>
          <w:sz w:val="22"/>
          <w:szCs w:val="22"/>
        </w:rPr>
        <w:t>in the manuscript (Line</w:t>
      </w:r>
      <w:r w:rsidR="00953622" w:rsidRPr="000116FB">
        <w:rPr>
          <w:rFonts w:ascii="Times New Roman" w:eastAsia="Times New Roman" w:hAnsi="Times New Roman" w:cs="Times New Roman"/>
          <w:color w:val="000000"/>
          <w:sz w:val="22"/>
          <w:szCs w:val="22"/>
        </w:rPr>
        <w:t>s</w:t>
      </w:r>
      <w:r w:rsidR="00957D4F" w:rsidRPr="000116FB">
        <w:rPr>
          <w:rFonts w:ascii="Times New Roman" w:eastAsia="Times New Roman" w:hAnsi="Times New Roman" w:cs="Times New Roman"/>
          <w:color w:val="000000"/>
          <w:sz w:val="22"/>
          <w:szCs w:val="22"/>
        </w:rPr>
        <w:t xml:space="preserve"> </w:t>
      </w:r>
      <w:r w:rsidR="00F82B9E" w:rsidRPr="000116FB">
        <w:rPr>
          <w:rFonts w:ascii="Times New Roman" w:eastAsia="Times New Roman" w:hAnsi="Times New Roman" w:cs="Times New Roman"/>
          <w:color w:val="000000"/>
          <w:sz w:val="22"/>
          <w:szCs w:val="22"/>
        </w:rPr>
        <w:t>17</w:t>
      </w:r>
      <w:r w:rsidR="00B231EA">
        <w:rPr>
          <w:rFonts w:ascii="Times New Roman" w:eastAsia="Times New Roman" w:hAnsi="Times New Roman" w:cs="Times New Roman"/>
          <w:color w:val="000000"/>
          <w:sz w:val="22"/>
          <w:szCs w:val="22"/>
        </w:rPr>
        <w:t>0</w:t>
      </w:r>
      <w:r w:rsidR="00F82B9E" w:rsidRPr="000116FB">
        <w:rPr>
          <w:rFonts w:ascii="Times New Roman" w:eastAsia="Times New Roman" w:hAnsi="Times New Roman" w:cs="Times New Roman"/>
          <w:color w:val="000000"/>
          <w:sz w:val="22"/>
          <w:szCs w:val="22"/>
        </w:rPr>
        <w:t>-17</w:t>
      </w:r>
      <w:r w:rsidR="00B231EA">
        <w:rPr>
          <w:rFonts w:ascii="Times New Roman" w:eastAsia="Times New Roman" w:hAnsi="Times New Roman" w:cs="Times New Roman"/>
          <w:color w:val="000000"/>
          <w:sz w:val="22"/>
          <w:szCs w:val="22"/>
        </w:rPr>
        <w:t>2</w:t>
      </w:r>
      <w:r w:rsidR="00957D4F" w:rsidRPr="000116FB">
        <w:rPr>
          <w:rFonts w:ascii="Times New Roman" w:eastAsia="Times New Roman" w:hAnsi="Times New Roman" w:cs="Times New Roman"/>
          <w:color w:val="000000"/>
          <w:sz w:val="22"/>
          <w:szCs w:val="22"/>
        </w:rPr>
        <w:t>)</w:t>
      </w:r>
      <w:r w:rsidR="00BC3471" w:rsidRPr="000116FB">
        <w:rPr>
          <w:rFonts w:ascii="Times New Roman" w:eastAsia="Times New Roman" w:hAnsi="Times New Roman" w:cs="Times New Roman"/>
          <w:color w:val="000000"/>
          <w:sz w:val="22"/>
          <w:szCs w:val="22"/>
        </w:rPr>
        <w:t>.</w:t>
      </w:r>
    </w:p>
    <w:p w14:paraId="63ADC55A" w14:textId="1A95D7CD" w:rsidR="00085CF9" w:rsidRPr="000116FB" w:rsidRDefault="000F045E" w:rsidP="00A04537">
      <w:pPr>
        <w:spacing w:after="240"/>
        <w:jc w:val="both"/>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i/>
          <w:iCs/>
          <w:color w:val="000000"/>
          <w:sz w:val="22"/>
          <w:szCs w:val="22"/>
          <w:shd w:val="clear" w:color="auto" w:fill="FFFFFF"/>
        </w:rPr>
        <w:br/>
      </w:r>
      <w:r w:rsidR="008B0E29" w:rsidRPr="000116FB">
        <w:rPr>
          <w:rFonts w:ascii="Times New Roman" w:eastAsia="Times New Roman" w:hAnsi="Times New Roman" w:cs="Times New Roman"/>
          <w:b/>
          <w:bCs/>
          <w:color w:val="000000"/>
          <w:sz w:val="22"/>
          <w:szCs w:val="22"/>
        </w:rPr>
        <w:t>Referee</w:t>
      </w:r>
      <w:r w:rsidR="00085CF9" w:rsidRPr="000116FB">
        <w:rPr>
          <w:rFonts w:ascii="Times New Roman" w:eastAsia="Times New Roman" w:hAnsi="Times New Roman" w:cs="Times New Roman"/>
          <w:b/>
          <w:bCs/>
          <w:color w:val="000000"/>
          <w:sz w:val="22"/>
          <w:szCs w:val="22"/>
        </w:rPr>
        <w:t xml:space="preserve"> #2</w:t>
      </w:r>
    </w:p>
    <w:p w14:paraId="1323D6C1" w14:textId="51BEAF2E" w:rsidR="00085CF9" w:rsidRPr="000116FB" w:rsidRDefault="00085CF9" w:rsidP="00E77849">
      <w:pPr>
        <w:spacing w:after="240"/>
        <w:jc w:val="both"/>
        <w:rPr>
          <w:rFonts w:ascii="Times New Roman" w:eastAsia="Times New Roman" w:hAnsi="Times New Roman" w:cs="Times New Roman"/>
          <w:b/>
          <w:bCs/>
          <w:color w:val="000000"/>
          <w:sz w:val="22"/>
          <w:szCs w:val="22"/>
          <w:shd w:val="clear" w:color="auto" w:fill="FFFFFF"/>
        </w:rPr>
      </w:pPr>
      <w:bookmarkStart w:id="28" w:name="OLE_LINK22"/>
      <w:bookmarkStart w:id="29" w:name="OLE_LINK23"/>
      <w:r w:rsidRPr="000116FB">
        <w:rPr>
          <w:rFonts w:ascii="Times New Roman" w:eastAsia="Times New Roman" w:hAnsi="Times New Roman" w:cs="Times New Roman"/>
          <w:b/>
          <w:bCs/>
          <w:color w:val="000000"/>
          <w:sz w:val="22"/>
          <w:szCs w:val="22"/>
        </w:rPr>
        <w:t xml:space="preserve">Comment </w:t>
      </w:r>
      <w:r w:rsidR="00847FA8" w:rsidRPr="000116FB">
        <w:rPr>
          <w:rFonts w:ascii="Times New Roman" w:eastAsia="Times New Roman" w:hAnsi="Times New Roman" w:cs="Times New Roman"/>
          <w:b/>
          <w:bCs/>
          <w:color w:val="000000"/>
          <w:sz w:val="22"/>
          <w:szCs w:val="22"/>
        </w:rPr>
        <w:t>1</w:t>
      </w:r>
      <w:r w:rsidRPr="000116FB">
        <w:rPr>
          <w:rFonts w:ascii="Times New Roman" w:eastAsia="Times New Roman" w:hAnsi="Times New Roman" w:cs="Times New Roman"/>
          <w:b/>
          <w:bCs/>
          <w:color w:val="000000"/>
          <w:sz w:val="22"/>
          <w:szCs w:val="22"/>
        </w:rPr>
        <w:t xml:space="preserve">: </w:t>
      </w:r>
      <w:bookmarkEnd w:id="28"/>
      <w:bookmarkEnd w:id="29"/>
      <w:r w:rsidRPr="000116FB">
        <w:rPr>
          <w:rFonts w:ascii="Times New Roman" w:eastAsia="Times New Roman" w:hAnsi="Times New Roman" w:cs="Times New Roman"/>
          <w:b/>
          <w:bCs/>
          <w:color w:val="000000"/>
          <w:sz w:val="22"/>
          <w:szCs w:val="22"/>
        </w:rPr>
        <w:t>“</w:t>
      </w:r>
      <w:r w:rsidR="000F045E" w:rsidRPr="000116FB">
        <w:rPr>
          <w:rFonts w:ascii="Times New Roman" w:eastAsia="Times New Roman" w:hAnsi="Times New Roman" w:cs="Times New Roman"/>
          <w:i/>
          <w:iCs/>
          <w:color w:val="000000"/>
          <w:sz w:val="22"/>
          <w:szCs w:val="22"/>
          <w:shd w:val="clear" w:color="auto" w:fill="FFFFFF"/>
        </w:rPr>
        <w:t>Nice repository model.</w:t>
      </w:r>
      <w:r w:rsidRPr="000116FB">
        <w:rPr>
          <w:rFonts w:ascii="Times New Roman" w:eastAsia="Times New Roman" w:hAnsi="Times New Roman" w:cs="Times New Roman"/>
          <w:b/>
          <w:bCs/>
          <w:color w:val="000000"/>
          <w:sz w:val="22"/>
          <w:szCs w:val="22"/>
          <w:shd w:val="clear" w:color="auto" w:fill="FFFFFF"/>
        </w:rPr>
        <w:t>”</w:t>
      </w:r>
    </w:p>
    <w:p w14:paraId="5A1431B1" w14:textId="01848D2C" w:rsidR="00A91077" w:rsidRPr="000116FB" w:rsidRDefault="00A91077" w:rsidP="00E77849">
      <w:pPr>
        <w:spacing w:after="240"/>
        <w:jc w:val="both"/>
        <w:rPr>
          <w:rFonts w:ascii="Times New Roman" w:eastAsia="Times New Roman" w:hAnsi="Times New Roman" w:cs="Times New Roman"/>
          <w:b/>
          <w:bCs/>
          <w:color w:val="000000"/>
          <w:sz w:val="22"/>
          <w:szCs w:val="22"/>
          <w:shd w:val="clear" w:color="auto" w:fill="FFFFFF"/>
        </w:rPr>
      </w:pPr>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t>
      </w:r>
      <w:bookmarkStart w:id="30" w:name="OLE_LINK43"/>
      <w:bookmarkStart w:id="31" w:name="OLE_LINK44"/>
      <w:r w:rsidRPr="000116FB">
        <w:rPr>
          <w:rFonts w:ascii="Times New Roman" w:eastAsia="Times New Roman" w:hAnsi="Times New Roman" w:cs="Times New Roman"/>
          <w:color w:val="000000"/>
          <w:sz w:val="22"/>
          <w:szCs w:val="22"/>
        </w:rPr>
        <w:t xml:space="preserve">We thank the </w:t>
      </w:r>
      <w:r w:rsidR="008B0E29" w:rsidRPr="000116FB">
        <w:rPr>
          <w:rFonts w:ascii="Times New Roman" w:eastAsia="Times New Roman" w:hAnsi="Times New Roman" w:cs="Times New Roman"/>
          <w:color w:val="000000"/>
          <w:sz w:val="22"/>
          <w:szCs w:val="22"/>
        </w:rPr>
        <w:t xml:space="preserve">referee </w:t>
      </w:r>
      <w:r w:rsidRPr="000116FB">
        <w:rPr>
          <w:rFonts w:ascii="Times New Roman" w:eastAsia="Times New Roman" w:hAnsi="Times New Roman" w:cs="Times New Roman"/>
          <w:color w:val="000000"/>
          <w:sz w:val="22"/>
          <w:szCs w:val="22"/>
        </w:rPr>
        <w:t xml:space="preserve">for reading </w:t>
      </w:r>
      <w:r w:rsidR="006304DC" w:rsidRPr="000116FB">
        <w:rPr>
          <w:rFonts w:ascii="Times New Roman" w:eastAsia="Times New Roman" w:hAnsi="Times New Roman" w:cs="Times New Roman" w:hint="eastAsia"/>
          <w:color w:val="000000"/>
          <w:sz w:val="22"/>
          <w:szCs w:val="22"/>
        </w:rPr>
        <w:t>and</w:t>
      </w:r>
      <w:r w:rsidR="006304DC" w:rsidRPr="000116FB">
        <w:rPr>
          <w:rFonts w:ascii="Times New Roman" w:eastAsia="Times New Roman" w:hAnsi="Times New Roman" w:cs="Times New Roman"/>
          <w:color w:val="000000"/>
          <w:sz w:val="22"/>
          <w:szCs w:val="22"/>
        </w:rPr>
        <w:t xml:space="preserve"> </w:t>
      </w:r>
      <w:r w:rsidR="006304DC" w:rsidRPr="000116FB">
        <w:rPr>
          <w:rFonts w:ascii="Times New Roman" w:eastAsia="Times New Roman" w:hAnsi="Times New Roman" w:cs="Times New Roman" w:hint="eastAsia"/>
          <w:color w:val="000000"/>
          <w:sz w:val="22"/>
          <w:szCs w:val="22"/>
        </w:rPr>
        <w:t>commenting</w:t>
      </w:r>
      <w:r w:rsidR="006304DC" w:rsidRPr="000116FB">
        <w:rPr>
          <w:rFonts w:ascii="Times New Roman" w:eastAsia="Times New Roman" w:hAnsi="Times New Roman" w:cs="Times New Roman"/>
          <w:color w:val="000000"/>
          <w:sz w:val="22"/>
          <w:szCs w:val="22"/>
        </w:rPr>
        <w:t xml:space="preserve"> </w:t>
      </w:r>
      <w:r w:rsidR="006304DC" w:rsidRPr="000116FB">
        <w:rPr>
          <w:rFonts w:ascii="Times New Roman" w:eastAsia="Times New Roman" w:hAnsi="Times New Roman" w:cs="Times New Roman" w:hint="eastAsia"/>
          <w:color w:val="000000"/>
          <w:sz w:val="22"/>
          <w:szCs w:val="22"/>
        </w:rPr>
        <w:t>on</w:t>
      </w:r>
      <w:r w:rsidR="006304DC" w:rsidRPr="000116FB">
        <w:rPr>
          <w:rFonts w:ascii="Times New Roman" w:eastAsia="Times New Roman" w:hAnsi="Times New Roman" w:cs="Times New Roman"/>
          <w:color w:val="000000"/>
          <w:sz w:val="22"/>
          <w:szCs w:val="22"/>
        </w:rPr>
        <w:t xml:space="preserve"> </w:t>
      </w:r>
      <w:r w:rsidRPr="000116FB">
        <w:rPr>
          <w:rFonts w:ascii="Times New Roman" w:eastAsia="Times New Roman" w:hAnsi="Times New Roman" w:cs="Times New Roman"/>
          <w:color w:val="000000"/>
          <w:sz w:val="22"/>
          <w:szCs w:val="22"/>
        </w:rPr>
        <w:t>our manuscript</w:t>
      </w:r>
      <w:bookmarkEnd w:id="30"/>
      <w:bookmarkEnd w:id="31"/>
      <w:r w:rsidRPr="000116FB">
        <w:rPr>
          <w:rFonts w:ascii="Times New Roman" w:eastAsia="Times New Roman" w:hAnsi="Times New Roman" w:cs="Times New Roman"/>
          <w:color w:val="000000"/>
          <w:sz w:val="22"/>
          <w:szCs w:val="22"/>
        </w:rPr>
        <w:t>.</w:t>
      </w:r>
    </w:p>
    <w:p w14:paraId="528C401E" w14:textId="7A3696DA" w:rsidR="00847FA8" w:rsidRPr="000116FB" w:rsidRDefault="00847FA8" w:rsidP="00E77849">
      <w:pPr>
        <w:spacing w:after="240"/>
        <w:rPr>
          <w:rFonts w:ascii="Times New Roman" w:eastAsia="Times New Roman" w:hAnsi="Times New Roman" w:cs="Times New Roman"/>
          <w:b/>
          <w:bCs/>
          <w:color w:val="000000"/>
          <w:sz w:val="22"/>
          <w:szCs w:val="22"/>
          <w:shd w:val="clear" w:color="auto" w:fill="FFFFFF"/>
        </w:rPr>
      </w:pPr>
      <w:r w:rsidRPr="000116FB">
        <w:rPr>
          <w:rFonts w:ascii="Times New Roman" w:eastAsia="Times New Roman" w:hAnsi="Times New Roman" w:cs="Times New Roman"/>
          <w:b/>
          <w:bCs/>
          <w:color w:val="000000"/>
          <w:sz w:val="22"/>
          <w:szCs w:val="22"/>
        </w:rPr>
        <w:t>Comment 2: “</w:t>
      </w:r>
      <w:r w:rsidR="000F045E" w:rsidRPr="000116FB">
        <w:rPr>
          <w:rFonts w:ascii="Times New Roman" w:eastAsia="Times New Roman" w:hAnsi="Times New Roman" w:cs="Times New Roman"/>
          <w:i/>
          <w:iCs/>
          <w:color w:val="000000"/>
          <w:sz w:val="22"/>
          <w:szCs w:val="22"/>
          <w:shd w:val="clear" w:color="auto" w:fill="FFFFFF"/>
        </w:rPr>
        <w:t>Some comments: Have you added, in the repo, the episodes of GVHD? How many did you find? Have you identified some risk factors for them?</w:t>
      </w:r>
      <w:r w:rsidRPr="000116FB">
        <w:rPr>
          <w:rFonts w:ascii="Times New Roman" w:eastAsia="Times New Roman" w:hAnsi="Times New Roman" w:cs="Times New Roman"/>
          <w:b/>
          <w:bCs/>
          <w:color w:val="000000"/>
          <w:sz w:val="22"/>
          <w:szCs w:val="22"/>
          <w:shd w:val="clear" w:color="auto" w:fill="FFFFFF"/>
        </w:rPr>
        <w:t>”</w:t>
      </w:r>
    </w:p>
    <w:p w14:paraId="4E1C9E3E" w14:textId="6FE844D2" w:rsidR="00E1461C" w:rsidRPr="000116FB" w:rsidRDefault="00847FA8" w:rsidP="000522E9">
      <w:pPr>
        <w:jc w:val="both"/>
        <w:rPr>
          <w:rFonts w:ascii="Times New Roman" w:eastAsia="Times New Roman" w:hAnsi="Times New Roman" w:cs="Times New Roman"/>
          <w:color w:val="000000"/>
          <w:sz w:val="22"/>
          <w:szCs w:val="22"/>
        </w:rPr>
      </w:pPr>
      <w:bookmarkStart w:id="32" w:name="OLE_LINK47"/>
      <w:bookmarkStart w:id="33" w:name="OLE_LINK48"/>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t>
      </w:r>
      <w:r w:rsidR="00ED2E2C" w:rsidRPr="000116FB">
        <w:rPr>
          <w:rFonts w:ascii="Times New Roman" w:eastAsia="Times New Roman" w:hAnsi="Times New Roman" w:cs="Times New Roman"/>
          <w:color w:val="000000"/>
          <w:sz w:val="22"/>
          <w:szCs w:val="22"/>
        </w:rPr>
        <w:t xml:space="preserve">We </w:t>
      </w:r>
      <w:bookmarkEnd w:id="32"/>
      <w:bookmarkEnd w:id="33"/>
      <w:r w:rsidR="00ED2E2C" w:rsidRPr="000116FB">
        <w:rPr>
          <w:rFonts w:ascii="Times New Roman" w:eastAsia="Times New Roman" w:hAnsi="Times New Roman" w:cs="Times New Roman"/>
          <w:color w:val="000000"/>
          <w:sz w:val="22"/>
          <w:szCs w:val="22"/>
        </w:rPr>
        <w:t xml:space="preserve">appreciate the </w:t>
      </w:r>
      <w:r w:rsidR="008B0E29" w:rsidRPr="000116FB">
        <w:rPr>
          <w:rFonts w:ascii="Times New Roman" w:eastAsia="Times New Roman" w:hAnsi="Times New Roman" w:cs="Times New Roman"/>
          <w:color w:val="000000"/>
          <w:sz w:val="22"/>
          <w:szCs w:val="22"/>
        </w:rPr>
        <w:t>referee</w:t>
      </w:r>
      <w:r w:rsidR="00ED2E2C" w:rsidRPr="000116FB">
        <w:rPr>
          <w:rFonts w:ascii="Times New Roman" w:eastAsia="Times New Roman" w:hAnsi="Times New Roman" w:cs="Times New Roman"/>
          <w:color w:val="000000"/>
          <w:sz w:val="22"/>
          <w:szCs w:val="22"/>
        </w:rPr>
        <w:t xml:space="preserve">’s interest in GVHD. </w:t>
      </w:r>
      <w:r w:rsidR="00E1461C" w:rsidRPr="000116FB">
        <w:rPr>
          <w:rFonts w:ascii="Times New Roman" w:eastAsia="Times New Roman" w:hAnsi="Times New Roman" w:cs="Times New Roman"/>
          <w:color w:val="000000"/>
          <w:sz w:val="22"/>
          <w:szCs w:val="22"/>
        </w:rPr>
        <w:t>We have not added GVHD data as detailed GVHD outcomes are not available for the entire patient cohort without vetting by manual chart review. </w:t>
      </w:r>
      <w:r w:rsidR="00EA248E" w:rsidRPr="000116FB">
        <w:rPr>
          <w:rFonts w:ascii="Times New Roman" w:eastAsia="Times New Roman" w:hAnsi="Times New Roman" w:cs="Times New Roman"/>
          <w:color w:val="000000"/>
          <w:sz w:val="22"/>
          <w:szCs w:val="22"/>
        </w:rPr>
        <w:t>R</w:t>
      </w:r>
      <w:r w:rsidR="00E1461C" w:rsidRPr="000116FB">
        <w:rPr>
          <w:rFonts w:ascii="Times New Roman" w:eastAsia="Times New Roman" w:hAnsi="Times New Roman" w:cs="Times New Roman"/>
          <w:color w:val="000000"/>
          <w:sz w:val="22"/>
          <w:szCs w:val="22"/>
        </w:rPr>
        <w:t xml:space="preserve">egretfully </w:t>
      </w:r>
      <w:r w:rsidR="00EA248E" w:rsidRPr="000116FB">
        <w:rPr>
          <w:rFonts w:ascii="Times New Roman" w:eastAsia="Times New Roman" w:hAnsi="Times New Roman" w:cs="Times New Roman"/>
          <w:color w:val="000000"/>
          <w:sz w:val="22"/>
          <w:szCs w:val="22"/>
        </w:rPr>
        <w:t>we do not have permission to publish</w:t>
      </w:r>
      <w:r w:rsidR="00E1461C" w:rsidRPr="000116FB">
        <w:rPr>
          <w:rFonts w:ascii="Times New Roman" w:eastAsia="Times New Roman" w:hAnsi="Times New Roman" w:cs="Times New Roman"/>
          <w:color w:val="000000"/>
          <w:sz w:val="22"/>
          <w:szCs w:val="22"/>
        </w:rPr>
        <w:t xml:space="preserve"> such patient-level </w:t>
      </w:r>
      <w:r w:rsidR="00EA248E" w:rsidRPr="000116FB">
        <w:rPr>
          <w:rFonts w:ascii="Times New Roman" w:eastAsia="Times New Roman" w:hAnsi="Times New Roman" w:cs="Times New Roman"/>
          <w:color w:val="000000"/>
          <w:sz w:val="22"/>
          <w:szCs w:val="22"/>
        </w:rPr>
        <w:t xml:space="preserve">granular data on </w:t>
      </w:r>
      <w:r w:rsidR="00E1461C" w:rsidRPr="000116FB">
        <w:rPr>
          <w:rFonts w:ascii="Times New Roman" w:eastAsia="Times New Roman" w:hAnsi="Times New Roman" w:cs="Times New Roman"/>
          <w:color w:val="000000"/>
          <w:sz w:val="22"/>
          <w:szCs w:val="22"/>
        </w:rPr>
        <w:t>outcomes, even de-identified.</w:t>
      </w:r>
    </w:p>
    <w:p w14:paraId="129623B8" w14:textId="77777777" w:rsidR="00E1461C" w:rsidRPr="000116FB" w:rsidRDefault="00E1461C" w:rsidP="000522E9">
      <w:pPr>
        <w:jc w:val="both"/>
        <w:rPr>
          <w:rFonts w:ascii="Times New Roman" w:eastAsia="Times New Roman" w:hAnsi="Times New Roman" w:cs="Times New Roman"/>
          <w:color w:val="000000"/>
          <w:sz w:val="22"/>
          <w:szCs w:val="22"/>
        </w:rPr>
      </w:pPr>
    </w:p>
    <w:p w14:paraId="49BE0EDE" w14:textId="1F737AB5" w:rsidR="00606447" w:rsidRPr="000116FB" w:rsidRDefault="00EA248E" w:rsidP="000522E9">
      <w:pPr>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 xml:space="preserve">But note that members of our team </w:t>
      </w:r>
      <w:r w:rsidR="00E1461C" w:rsidRPr="000116FB">
        <w:rPr>
          <w:rFonts w:ascii="Times New Roman" w:eastAsia="Times New Roman" w:hAnsi="Times New Roman" w:cs="Times New Roman"/>
          <w:color w:val="000000"/>
          <w:sz w:val="22"/>
          <w:szCs w:val="22"/>
        </w:rPr>
        <w:t>have previously reported microbiome risk factors for GVHD-related mortality</w:t>
      </w:r>
      <w:r w:rsidRPr="000116FB">
        <w:rPr>
          <w:rFonts w:ascii="Times New Roman" w:eastAsia="Times New Roman" w:hAnsi="Times New Roman" w:cs="Times New Roman"/>
          <w:color w:val="000000"/>
          <w:sz w:val="22"/>
          <w:szCs w:val="22"/>
        </w:rPr>
        <w:t>. Those factors</w:t>
      </w:r>
      <w:r w:rsidR="00E1461C" w:rsidRPr="000116FB">
        <w:rPr>
          <w:rFonts w:ascii="Times New Roman" w:eastAsia="Times New Roman" w:hAnsi="Times New Roman" w:cs="Times New Roman"/>
          <w:color w:val="000000"/>
          <w:sz w:val="22"/>
          <w:szCs w:val="22"/>
        </w:rPr>
        <w:t xml:space="preserve"> include low alpha-diversity, low abundance of </w:t>
      </w:r>
      <w:proofErr w:type="spellStart"/>
      <w:r w:rsidR="00E1461C" w:rsidRPr="000116FB">
        <w:rPr>
          <w:rFonts w:ascii="Times New Roman" w:eastAsia="Times New Roman" w:hAnsi="Times New Roman" w:cs="Times New Roman"/>
          <w:color w:val="000000"/>
          <w:sz w:val="22"/>
          <w:szCs w:val="22"/>
        </w:rPr>
        <w:t>Blautia</w:t>
      </w:r>
      <w:proofErr w:type="spellEnd"/>
      <w:r w:rsidR="00E1461C" w:rsidRPr="000116FB">
        <w:rPr>
          <w:rFonts w:ascii="Times New Roman" w:eastAsia="Times New Roman" w:hAnsi="Times New Roman" w:cs="Times New Roman"/>
          <w:color w:val="000000"/>
          <w:sz w:val="22"/>
          <w:szCs w:val="22"/>
        </w:rPr>
        <w:t xml:space="preserve"> [1] and domination by </w:t>
      </w:r>
      <w:r w:rsidR="00E1461C" w:rsidRPr="000116FB">
        <w:rPr>
          <w:rFonts w:ascii="Times New Roman" w:eastAsia="Times New Roman" w:hAnsi="Times New Roman" w:cs="Times New Roman"/>
          <w:i/>
          <w:iCs/>
          <w:color w:val="000000"/>
          <w:sz w:val="22"/>
          <w:szCs w:val="22"/>
        </w:rPr>
        <w:t>Enterococcus</w:t>
      </w:r>
      <w:r w:rsidR="00E1461C" w:rsidRPr="000116FB">
        <w:rPr>
          <w:rFonts w:ascii="Times New Roman" w:eastAsia="Times New Roman" w:hAnsi="Times New Roman" w:cs="Times New Roman"/>
          <w:color w:val="000000"/>
          <w:sz w:val="22"/>
          <w:szCs w:val="22"/>
        </w:rPr>
        <w:t xml:space="preserve"> [2] and that chronic GVHD is associated with high circulating concentrations of microbiome-derived short-chain fatty acids [3]. We </w:t>
      </w:r>
      <w:r w:rsidRPr="000116FB">
        <w:rPr>
          <w:rFonts w:ascii="Times New Roman" w:eastAsia="Times New Roman" w:hAnsi="Times New Roman" w:cs="Times New Roman"/>
          <w:color w:val="000000"/>
          <w:sz w:val="22"/>
          <w:szCs w:val="22"/>
        </w:rPr>
        <w:t xml:space="preserve">expanded introduction to discuss </w:t>
      </w:r>
      <w:r w:rsidR="00E1461C" w:rsidRPr="000116FB">
        <w:rPr>
          <w:rFonts w:ascii="Times New Roman" w:eastAsia="Times New Roman" w:hAnsi="Times New Roman" w:cs="Times New Roman"/>
          <w:color w:val="000000"/>
          <w:sz w:val="22"/>
          <w:szCs w:val="22"/>
        </w:rPr>
        <w:t xml:space="preserve">these </w:t>
      </w:r>
      <w:r w:rsidR="00C100BA" w:rsidRPr="000116FB">
        <w:rPr>
          <w:rFonts w:ascii="Times New Roman" w:eastAsia="Times New Roman" w:hAnsi="Times New Roman" w:cs="Times New Roman"/>
          <w:color w:val="000000"/>
          <w:sz w:val="22"/>
          <w:szCs w:val="22"/>
        </w:rPr>
        <w:t xml:space="preserve">GVHD-microbiome links </w:t>
      </w:r>
      <w:r w:rsidR="00E1461C" w:rsidRPr="000116FB">
        <w:rPr>
          <w:rFonts w:ascii="Times New Roman" w:eastAsia="Times New Roman" w:hAnsi="Times New Roman" w:cs="Times New Roman"/>
          <w:color w:val="000000"/>
          <w:sz w:val="22"/>
          <w:szCs w:val="22"/>
        </w:rPr>
        <w:t xml:space="preserve">in the manuscript (Lines: </w:t>
      </w:r>
      <w:r w:rsidR="00AC4786" w:rsidRPr="000116FB">
        <w:rPr>
          <w:rFonts w:ascii="Times New Roman" w:eastAsia="Times New Roman" w:hAnsi="Times New Roman" w:cs="Times New Roman"/>
          <w:color w:val="000000"/>
          <w:sz w:val="22"/>
          <w:szCs w:val="22"/>
        </w:rPr>
        <w:t>7</w:t>
      </w:r>
      <w:r w:rsidR="00534330" w:rsidRPr="000116FB">
        <w:rPr>
          <w:rFonts w:ascii="Times New Roman" w:eastAsia="Times New Roman" w:hAnsi="Times New Roman" w:cs="Times New Roman"/>
          <w:color w:val="000000"/>
          <w:sz w:val="22"/>
          <w:szCs w:val="22"/>
        </w:rPr>
        <w:t>2-73</w:t>
      </w:r>
      <w:r w:rsidR="00E1461C" w:rsidRPr="000116FB">
        <w:rPr>
          <w:rFonts w:ascii="Times New Roman" w:eastAsia="Times New Roman" w:hAnsi="Times New Roman" w:cs="Times New Roman"/>
          <w:color w:val="000000"/>
          <w:sz w:val="22"/>
          <w:szCs w:val="22"/>
        </w:rPr>
        <w:t>)</w:t>
      </w:r>
      <w:r w:rsidRPr="000116FB">
        <w:rPr>
          <w:rFonts w:ascii="Times New Roman" w:eastAsia="Times New Roman" w:hAnsi="Times New Roman" w:cs="Times New Roman"/>
          <w:color w:val="000000"/>
          <w:sz w:val="22"/>
          <w:szCs w:val="22"/>
        </w:rPr>
        <w:t xml:space="preserve"> which were outside of the main focus of our original paper</w:t>
      </w:r>
      <w:r w:rsidR="00E1461C" w:rsidRPr="000116FB">
        <w:rPr>
          <w:rFonts w:ascii="Times New Roman" w:eastAsia="Times New Roman" w:hAnsi="Times New Roman" w:cs="Times New Roman"/>
          <w:color w:val="000000"/>
          <w:sz w:val="22"/>
          <w:szCs w:val="22"/>
        </w:rPr>
        <w:t>.</w:t>
      </w:r>
    </w:p>
    <w:p w14:paraId="1A3F0E27" w14:textId="77777777" w:rsidR="005901A8" w:rsidRPr="000116FB" w:rsidRDefault="005901A8" w:rsidP="005901A8">
      <w:pPr>
        <w:jc w:val="both"/>
        <w:rPr>
          <w:rFonts w:ascii="Times New Roman" w:eastAsia="Times New Roman" w:hAnsi="Times New Roman" w:cs="Times New Roman"/>
          <w:color w:val="000000"/>
          <w:sz w:val="22"/>
          <w:szCs w:val="22"/>
        </w:rPr>
      </w:pPr>
    </w:p>
    <w:p w14:paraId="4FB00E8F" w14:textId="2D943C49" w:rsidR="00ED2E2C" w:rsidRPr="000116FB" w:rsidRDefault="00ED2E2C" w:rsidP="00E77849">
      <w:pPr>
        <w:spacing w:after="240"/>
        <w:rPr>
          <w:rFonts w:ascii="Times New Roman" w:eastAsia="Times New Roman" w:hAnsi="Times New Roman" w:cs="Times New Roman"/>
          <w:i/>
          <w:iCs/>
          <w:color w:val="000000"/>
          <w:sz w:val="22"/>
          <w:szCs w:val="22"/>
          <w:shd w:val="clear" w:color="auto" w:fill="FFFFFF"/>
        </w:rPr>
      </w:pPr>
      <w:r w:rsidRPr="000116FB">
        <w:rPr>
          <w:rFonts w:ascii="Times New Roman" w:eastAsia="Times New Roman" w:hAnsi="Times New Roman" w:cs="Times New Roman"/>
          <w:b/>
          <w:bCs/>
          <w:color w:val="000000"/>
          <w:sz w:val="22"/>
          <w:szCs w:val="22"/>
        </w:rPr>
        <w:t>Comment 3: “</w:t>
      </w:r>
      <w:r w:rsidRPr="000116FB">
        <w:rPr>
          <w:rFonts w:ascii="Times New Roman" w:eastAsia="Times New Roman" w:hAnsi="Times New Roman" w:cs="Times New Roman"/>
          <w:i/>
          <w:iCs/>
          <w:color w:val="000000"/>
          <w:sz w:val="22"/>
          <w:szCs w:val="22"/>
          <w:shd w:val="clear" w:color="auto" w:fill="FFFFFF"/>
        </w:rPr>
        <w:t>About your patients: have you registered other factors that influence gut microbiota composition (e.g. diet, delivery, breastfeeding, PPI use)?</w:t>
      </w:r>
      <w:r w:rsidRPr="000116FB">
        <w:rPr>
          <w:rFonts w:ascii="Times New Roman" w:eastAsia="Times New Roman" w:hAnsi="Times New Roman" w:cs="Times New Roman"/>
          <w:b/>
          <w:bCs/>
          <w:i/>
          <w:iCs/>
          <w:color w:val="000000"/>
          <w:sz w:val="22"/>
          <w:szCs w:val="22"/>
          <w:shd w:val="clear" w:color="auto" w:fill="FFFFFF"/>
        </w:rPr>
        <w:t>”</w:t>
      </w:r>
    </w:p>
    <w:p w14:paraId="756AB088" w14:textId="0C64DEE9" w:rsidR="00326DF1" w:rsidRPr="000116FB" w:rsidRDefault="00ED2E2C" w:rsidP="00A06894">
      <w:pPr>
        <w:spacing w:after="240"/>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b/>
          <w:bCs/>
          <w:color w:val="000000"/>
          <w:sz w:val="22"/>
          <w:szCs w:val="22"/>
        </w:rPr>
        <w:t>Author Response</w:t>
      </w:r>
      <w:r w:rsidRPr="000116FB">
        <w:rPr>
          <w:rFonts w:ascii="Times New Roman" w:eastAsia="Times New Roman" w:hAnsi="Times New Roman" w:cs="Times New Roman"/>
          <w:color w:val="000000"/>
          <w:sz w:val="22"/>
          <w:szCs w:val="22"/>
        </w:rPr>
        <w:t xml:space="preserve">: </w:t>
      </w:r>
      <w:r w:rsidR="00AE6BDB" w:rsidRPr="000116FB">
        <w:rPr>
          <w:rFonts w:ascii="Times New Roman" w:eastAsia="Times New Roman" w:hAnsi="Times New Roman" w:cs="Times New Roman"/>
          <w:color w:val="000000"/>
          <w:sz w:val="22"/>
          <w:szCs w:val="22"/>
        </w:rPr>
        <w:t xml:space="preserve">We have previously reported drug exposure [4] and host-microbiome interaction [5] as two major drivers of gut microbiota </w:t>
      </w:r>
      <w:r w:rsidR="00CA6F32" w:rsidRPr="000116FB">
        <w:rPr>
          <w:rFonts w:ascii="Times New Roman" w:eastAsia="Times New Roman" w:hAnsi="Times New Roman" w:cs="Times New Roman"/>
          <w:color w:val="000000"/>
          <w:sz w:val="22"/>
          <w:szCs w:val="22"/>
        </w:rPr>
        <w:t>dynamics</w:t>
      </w:r>
      <w:r w:rsidR="00AE6BDB" w:rsidRPr="000116FB">
        <w:rPr>
          <w:rFonts w:ascii="Times New Roman" w:eastAsia="Times New Roman" w:hAnsi="Times New Roman" w:cs="Times New Roman"/>
          <w:color w:val="000000"/>
          <w:sz w:val="22"/>
          <w:szCs w:val="22"/>
        </w:rPr>
        <w:t xml:space="preserve"> in our </w:t>
      </w:r>
      <w:proofErr w:type="spellStart"/>
      <w:r w:rsidR="00AE6BDB" w:rsidRPr="000116FB">
        <w:rPr>
          <w:rFonts w:ascii="Times New Roman" w:eastAsia="Times New Roman" w:hAnsi="Times New Roman" w:cs="Times New Roman"/>
          <w:color w:val="000000"/>
          <w:sz w:val="22"/>
          <w:szCs w:val="22"/>
        </w:rPr>
        <w:t>allo</w:t>
      </w:r>
      <w:proofErr w:type="spellEnd"/>
      <w:r w:rsidR="00AE6BDB" w:rsidRPr="000116FB">
        <w:rPr>
          <w:rFonts w:ascii="Times New Roman" w:eastAsia="Times New Roman" w:hAnsi="Times New Roman" w:cs="Times New Roman"/>
          <w:color w:val="000000"/>
          <w:sz w:val="22"/>
          <w:szCs w:val="22"/>
        </w:rPr>
        <w:t>-HSTC patients.</w:t>
      </w:r>
      <w:r w:rsidR="00326DF1" w:rsidRPr="000116FB">
        <w:rPr>
          <w:rFonts w:ascii="Times New Roman" w:eastAsia="Times New Roman" w:hAnsi="Times New Roman" w:cs="Times New Roman"/>
          <w:color w:val="000000"/>
          <w:sz w:val="22"/>
          <w:szCs w:val="22"/>
        </w:rPr>
        <w:t xml:space="preserve"> </w:t>
      </w:r>
      <w:r w:rsidR="00AE6BDB" w:rsidRPr="000116FB">
        <w:rPr>
          <w:rFonts w:ascii="Times New Roman" w:eastAsia="Times New Roman" w:hAnsi="Times New Roman" w:cs="Times New Roman"/>
          <w:color w:val="000000"/>
          <w:sz w:val="22"/>
          <w:szCs w:val="22"/>
        </w:rPr>
        <w:t xml:space="preserve">Both drug administration records and counts of white and red blood cells have been released together with microbiome data in the </w:t>
      </w:r>
      <w:r w:rsidR="00326DF1" w:rsidRPr="000116FB">
        <w:rPr>
          <w:rFonts w:ascii="Times New Roman" w:eastAsia="Times New Roman" w:hAnsi="Times New Roman" w:cs="Times New Roman"/>
          <w:color w:val="000000"/>
          <w:sz w:val="22"/>
          <w:szCs w:val="22"/>
        </w:rPr>
        <w:t xml:space="preserve">current </w:t>
      </w:r>
      <w:r w:rsidR="00A765CD" w:rsidRPr="000116FB">
        <w:rPr>
          <w:rFonts w:ascii="Times New Roman" w:eastAsia="Times New Roman" w:hAnsi="Times New Roman" w:cs="Times New Roman"/>
          <w:color w:val="000000"/>
          <w:sz w:val="22"/>
          <w:szCs w:val="22"/>
        </w:rPr>
        <w:t>data collection.</w:t>
      </w:r>
      <w:r w:rsidR="00AE6BDB" w:rsidRPr="000116FB">
        <w:rPr>
          <w:rFonts w:ascii="Times New Roman" w:eastAsia="Times New Roman" w:hAnsi="Times New Roman" w:cs="Times New Roman"/>
          <w:color w:val="000000"/>
          <w:sz w:val="22"/>
          <w:szCs w:val="22"/>
        </w:rPr>
        <w:t xml:space="preserve"> </w:t>
      </w:r>
    </w:p>
    <w:p w14:paraId="4F9DC635" w14:textId="5C5611F9" w:rsidR="006D1415" w:rsidRPr="000116FB" w:rsidRDefault="008B6E6A" w:rsidP="00A06894">
      <w:pPr>
        <w:spacing w:after="240"/>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We do have</w:t>
      </w:r>
      <w:r w:rsidR="00326DF1" w:rsidRPr="000116FB">
        <w:rPr>
          <w:rFonts w:ascii="Times New Roman" w:eastAsia="Times New Roman" w:hAnsi="Times New Roman" w:cs="Times New Roman"/>
          <w:color w:val="000000"/>
          <w:sz w:val="22"/>
          <w:szCs w:val="22"/>
        </w:rPr>
        <w:t xml:space="preserve"> </w:t>
      </w:r>
      <w:r w:rsidR="00AE6BDB" w:rsidRPr="000116FB">
        <w:rPr>
          <w:rFonts w:ascii="Times New Roman" w:eastAsia="Times New Roman" w:hAnsi="Times New Roman" w:cs="Times New Roman"/>
          <w:color w:val="000000"/>
          <w:sz w:val="22"/>
          <w:szCs w:val="22"/>
        </w:rPr>
        <w:t xml:space="preserve">ongoing projects </w:t>
      </w:r>
      <w:r w:rsidRPr="000116FB">
        <w:rPr>
          <w:rFonts w:ascii="Times New Roman" w:eastAsia="Times New Roman" w:hAnsi="Times New Roman" w:cs="Times New Roman"/>
          <w:color w:val="000000"/>
          <w:sz w:val="22"/>
          <w:szCs w:val="22"/>
        </w:rPr>
        <w:t xml:space="preserve">at </w:t>
      </w:r>
      <w:r w:rsidR="00326DF1" w:rsidRPr="000116FB">
        <w:rPr>
          <w:rFonts w:ascii="Times New Roman" w:eastAsia="Times New Roman" w:hAnsi="Times New Roman" w:cs="Times New Roman"/>
          <w:color w:val="000000"/>
          <w:sz w:val="22"/>
          <w:szCs w:val="22"/>
        </w:rPr>
        <w:t>our institute</w:t>
      </w:r>
      <w:r w:rsidR="00AE6BDB" w:rsidRPr="000116FB">
        <w:rPr>
          <w:rFonts w:ascii="Times New Roman" w:eastAsia="Times New Roman" w:hAnsi="Times New Roman" w:cs="Times New Roman"/>
          <w:color w:val="000000"/>
          <w:sz w:val="22"/>
          <w:szCs w:val="22"/>
        </w:rPr>
        <w:t xml:space="preserve"> </w:t>
      </w:r>
      <w:r w:rsidRPr="000116FB">
        <w:rPr>
          <w:rFonts w:ascii="Times New Roman" w:eastAsia="Times New Roman" w:hAnsi="Times New Roman" w:cs="Times New Roman"/>
          <w:color w:val="000000"/>
          <w:sz w:val="22"/>
          <w:szCs w:val="22"/>
        </w:rPr>
        <w:t xml:space="preserve">to </w:t>
      </w:r>
      <w:r w:rsidR="00AE6BDB" w:rsidRPr="000116FB">
        <w:rPr>
          <w:rFonts w:ascii="Times New Roman" w:eastAsia="Times New Roman" w:hAnsi="Times New Roman" w:cs="Times New Roman"/>
          <w:color w:val="000000"/>
          <w:sz w:val="22"/>
          <w:szCs w:val="22"/>
        </w:rPr>
        <w:t xml:space="preserve">study the associations of these factors such as diet </w:t>
      </w:r>
      <w:r w:rsidR="00326DF1" w:rsidRPr="000116FB">
        <w:rPr>
          <w:rFonts w:ascii="Times New Roman" w:eastAsia="Times New Roman" w:hAnsi="Times New Roman" w:cs="Times New Roman"/>
          <w:color w:val="000000"/>
          <w:sz w:val="22"/>
          <w:szCs w:val="22"/>
        </w:rPr>
        <w:t>with</w:t>
      </w:r>
      <w:r w:rsidR="00AE6BDB" w:rsidRPr="000116FB">
        <w:rPr>
          <w:rFonts w:ascii="Times New Roman" w:eastAsia="Times New Roman" w:hAnsi="Times New Roman" w:cs="Times New Roman"/>
          <w:color w:val="000000"/>
          <w:sz w:val="22"/>
          <w:szCs w:val="22"/>
        </w:rPr>
        <w:t xml:space="preserve"> </w:t>
      </w:r>
      <w:r w:rsidR="00CA6F32" w:rsidRPr="000116FB">
        <w:rPr>
          <w:rFonts w:ascii="Times New Roman" w:eastAsia="Times New Roman" w:hAnsi="Times New Roman" w:cs="Times New Roman"/>
          <w:color w:val="000000"/>
          <w:sz w:val="22"/>
          <w:szCs w:val="22"/>
        </w:rPr>
        <w:t xml:space="preserve">gut </w:t>
      </w:r>
      <w:r w:rsidR="00AE6BDB" w:rsidRPr="000116FB">
        <w:rPr>
          <w:rFonts w:ascii="Times New Roman" w:eastAsia="Times New Roman" w:hAnsi="Times New Roman" w:cs="Times New Roman"/>
          <w:color w:val="000000"/>
          <w:sz w:val="22"/>
          <w:szCs w:val="22"/>
        </w:rPr>
        <w:t>microbio</w:t>
      </w:r>
      <w:r w:rsidR="00CA6F32" w:rsidRPr="000116FB">
        <w:rPr>
          <w:rFonts w:ascii="Times New Roman" w:eastAsia="Times New Roman" w:hAnsi="Times New Roman" w:cs="Times New Roman"/>
          <w:color w:val="000000"/>
          <w:sz w:val="22"/>
          <w:szCs w:val="22"/>
        </w:rPr>
        <w:t>ta</w:t>
      </w:r>
      <w:r w:rsidR="00AE6BDB" w:rsidRPr="000116FB">
        <w:rPr>
          <w:rFonts w:ascii="Times New Roman" w:eastAsia="Times New Roman" w:hAnsi="Times New Roman" w:cs="Times New Roman"/>
          <w:color w:val="000000"/>
          <w:sz w:val="22"/>
          <w:szCs w:val="22"/>
        </w:rPr>
        <w:t xml:space="preserve"> composition</w:t>
      </w:r>
      <w:r w:rsidR="00ED2407" w:rsidRPr="000116FB">
        <w:rPr>
          <w:rFonts w:ascii="Times New Roman" w:eastAsia="Times New Roman" w:hAnsi="Times New Roman" w:cs="Times New Roman"/>
          <w:color w:val="000000"/>
          <w:sz w:val="22"/>
          <w:szCs w:val="22"/>
        </w:rPr>
        <w:t xml:space="preserve">. In the revised manuscript, we </w:t>
      </w:r>
      <w:r w:rsidRPr="000116FB">
        <w:rPr>
          <w:rFonts w:ascii="Times New Roman" w:eastAsia="Times New Roman" w:hAnsi="Times New Roman" w:cs="Times New Roman"/>
          <w:color w:val="000000"/>
          <w:sz w:val="22"/>
          <w:szCs w:val="22"/>
        </w:rPr>
        <w:t xml:space="preserve">acknowledge </w:t>
      </w:r>
      <w:r w:rsidR="00ED2407" w:rsidRPr="000116FB">
        <w:rPr>
          <w:rFonts w:ascii="Times New Roman" w:eastAsia="Times New Roman" w:hAnsi="Times New Roman" w:cs="Times New Roman"/>
          <w:color w:val="000000"/>
          <w:sz w:val="22"/>
          <w:szCs w:val="22"/>
        </w:rPr>
        <w:t xml:space="preserve">that </w:t>
      </w:r>
      <w:r w:rsidRPr="000116FB">
        <w:rPr>
          <w:rFonts w:ascii="Times New Roman" w:eastAsia="Times New Roman" w:hAnsi="Times New Roman" w:cs="Times New Roman"/>
          <w:color w:val="000000"/>
          <w:sz w:val="22"/>
          <w:szCs w:val="22"/>
        </w:rPr>
        <w:t>factors like diet are</w:t>
      </w:r>
      <w:r w:rsidR="00ED2407" w:rsidRPr="000116FB">
        <w:rPr>
          <w:rFonts w:ascii="Times New Roman" w:eastAsia="Times New Roman" w:hAnsi="Times New Roman" w:cs="Times New Roman"/>
          <w:color w:val="000000"/>
          <w:sz w:val="22"/>
          <w:szCs w:val="22"/>
        </w:rPr>
        <w:t xml:space="preserve"> not yet available</w:t>
      </w:r>
      <w:r w:rsidRPr="000116FB">
        <w:rPr>
          <w:rFonts w:ascii="Times New Roman" w:eastAsia="Times New Roman" w:hAnsi="Times New Roman" w:cs="Times New Roman"/>
          <w:color w:val="000000"/>
          <w:sz w:val="22"/>
          <w:szCs w:val="22"/>
        </w:rPr>
        <w:t>, but we mention that they could be in the future</w:t>
      </w:r>
      <w:r w:rsidR="00ED2407" w:rsidRPr="000116FB">
        <w:rPr>
          <w:rFonts w:ascii="Times New Roman" w:eastAsia="Times New Roman" w:hAnsi="Times New Roman" w:cs="Times New Roman"/>
          <w:color w:val="000000"/>
          <w:sz w:val="22"/>
          <w:szCs w:val="22"/>
        </w:rPr>
        <w:t xml:space="preserve"> (Line</w:t>
      </w:r>
      <w:r w:rsidR="00054A29" w:rsidRPr="000116FB">
        <w:rPr>
          <w:rFonts w:ascii="Times New Roman" w:eastAsia="Times New Roman" w:hAnsi="Times New Roman" w:cs="Times New Roman"/>
          <w:color w:val="000000"/>
          <w:sz w:val="22"/>
          <w:szCs w:val="22"/>
        </w:rPr>
        <w:t>s</w:t>
      </w:r>
      <w:r w:rsidR="00ED2407" w:rsidRPr="000116FB">
        <w:rPr>
          <w:rFonts w:ascii="Times New Roman" w:eastAsia="Times New Roman" w:hAnsi="Times New Roman" w:cs="Times New Roman"/>
          <w:color w:val="000000"/>
          <w:sz w:val="22"/>
          <w:szCs w:val="22"/>
        </w:rPr>
        <w:t xml:space="preserve"> </w:t>
      </w:r>
      <w:r w:rsidR="00B76161" w:rsidRPr="000116FB">
        <w:rPr>
          <w:rFonts w:ascii="Times New Roman" w:eastAsia="Times New Roman" w:hAnsi="Times New Roman" w:cs="Times New Roman"/>
          <w:color w:val="000000"/>
          <w:sz w:val="22"/>
          <w:szCs w:val="22"/>
        </w:rPr>
        <w:t>4</w:t>
      </w:r>
      <w:r w:rsidR="00A67EB5">
        <w:rPr>
          <w:rFonts w:ascii="Times New Roman" w:eastAsia="Times New Roman" w:hAnsi="Times New Roman" w:cs="Times New Roman"/>
          <w:color w:val="000000"/>
          <w:sz w:val="22"/>
          <w:szCs w:val="22"/>
        </w:rPr>
        <w:t>69</w:t>
      </w:r>
      <w:r w:rsidR="00B76161" w:rsidRPr="000116FB">
        <w:rPr>
          <w:rFonts w:ascii="Times New Roman" w:eastAsia="Times New Roman" w:hAnsi="Times New Roman" w:cs="Times New Roman"/>
          <w:color w:val="000000"/>
          <w:sz w:val="22"/>
          <w:szCs w:val="22"/>
        </w:rPr>
        <w:t>-47</w:t>
      </w:r>
      <w:r w:rsidR="00A67EB5">
        <w:rPr>
          <w:rFonts w:ascii="Times New Roman" w:eastAsia="Times New Roman" w:hAnsi="Times New Roman" w:cs="Times New Roman"/>
          <w:color w:val="000000"/>
          <w:sz w:val="22"/>
          <w:szCs w:val="22"/>
        </w:rPr>
        <w:t>2</w:t>
      </w:r>
      <w:r w:rsidR="00ED2407" w:rsidRPr="000116FB">
        <w:rPr>
          <w:rFonts w:ascii="Times New Roman" w:eastAsia="Times New Roman" w:hAnsi="Times New Roman" w:cs="Times New Roman"/>
          <w:color w:val="000000"/>
          <w:sz w:val="22"/>
          <w:szCs w:val="22"/>
        </w:rPr>
        <w:t>).</w:t>
      </w:r>
      <w:r w:rsidR="006D1415" w:rsidRPr="000116FB">
        <w:rPr>
          <w:rFonts w:ascii="Times New Roman" w:eastAsia="Times New Roman" w:hAnsi="Times New Roman" w:cs="Times New Roman"/>
          <w:b/>
          <w:bCs/>
          <w:color w:val="000000"/>
          <w:sz w:val="22"/>
          <w:szCs w:val="22"/>
        </w:rPr>
        <w:br w:type="page"/>
      </w:r>
    </w:p>
    <w:p w14:paraId="5498964E" w14:textId="201B3A71" w:rsidR="00ED2E2C" w:rsidRPr="000116FB" w:rsidRDefault="005901A8" w:rsidP="00E77849">
      <w:pPr>
        <w:spacing w:after="240"/>
        <w:rPr>
          <w:rFonts w:ascii="Times New Roman" w:eastAsia="Times New Roman" w:hAnsi="Times New Roman" w:cs="Times New Roman"/>
          <w:b/>
          <w:bCs/>
          <w:color w:val="000000"/>
          <w:sz w:val="22"/>
          <w:szCs w:val="22"/>
        </w:rPr>
      </w:pPr>
      <w:r w:rsidRPr="000116FB">
        <w:rPr>
          <w:rFonts w:ascii="Times New Roman" w:eastAsia="Times New Roman" w:hAnsi="Times New Roman" w:cs="Times New Roman"/>
          <w:b/>
          <w:bCs/>
          <w:color w:val="000000"/>
          <w:sz w:val="22"/>
          <w:szCs w:val="22"/>
        </w:rPr>
        <w:lastRenderedPageBreak/>
        <w:t>Reference:</w:t>
      </w:r>
    </w:p>
    <w:p w14:paraId="03FEA666" w14:textId="7114C2D0" w:rsidR="005901A8" w:rsidRPr="000116FB" w:rsidRDefault="005901A8" w:rsidP="00FC66B4">
      <w:pPr>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 xml:space="preserve">[1] </w:t>
      </w:r>
      <w:proofErr w:type="spellStart"/>
      <w:r w:rsidR="008C68E7" w:rsidRPr="000116FB">
        <w:rPr>
          <w:rFonts w:ascii="Times New Roman" w:eastAsia="Times New Roman" w:hAnsi="Times New Roman" w:cs="Times New Roman"/>
          <w:color w:val="000000"/>
          <w:sz w:val="22"/>
          <w:szCs w:val="22"/>
        </w:rPr>
        <w:t>Jenq</w:t>
      </w:r>
      <w:proofErr w:type="spellEnd"/>
      <w:r w:rsidR="008C68E7" w:rsidRPr="000116FB">
        <w:rPr>
          <w:rFonts w:ascii="Times New Roman" w:eastAsia="Times New Roman" w:hAnsi="Times New Roman" w:cs="Times New Roman"/>
          <w:color w:val="000000"/>
          <w:sz w:val="22"/>
          <w:szCs w:val="22"/>
        </w:rPr>
        <w:t xml:space="preserve">, Robert R., et al. "Intestinal </w:t>
      </w:r>
      <w:proofErr w:type="spellStart"/>
      <w:r w:rsidR="008C68E7" w:rsidRPr="000116FB">
        <w:rPr>
          <w:rFonts w:ascii="Times New Roman" w:eastAsia="Times New Roman" w:hAnsi="Times New Roman" w:cs="Times New Roman"/>
          <w:color w:val="000000"/>
          <w:sz w:val="22"/>
          <w:szCs w:val="22"/>
        </w:rPr>
        <w:t>Blautia</w:t>
      </w:r>
      <w:proofErr w:type="spellEnd"/>
      <w:r w:rsidR="008C68E7" w:rsidRPr="000116FB">
        <w:rPr>
          <w:rFonts w:ascii="Times New Roman" w:eastAsia="Times New Roman" w:hAnsi="Times New Roman" w:cs="Times New Roman"/>
          <w:color w:val="000000"/>
          <w:sz w:val="22"/>
          <w:szCs w:val="22"/>
        </w:rPr>
        <w:t xml:space="preserve"> is associated with reduced death from graft-versus-host</w:t>
      </w:r>
      <w:r w:rsidR="00762829" w:rsidRPr="000116FB">
        <w:rPr>
          <w:rFonts w:ascii="Times New Roman" w:eastAsia="Times New Roman" w:hAnsi="Times New Roman" w:cs="Times New Roman"/>
          <w:color w:val="000000"/>
          <w:sz w:val="22"/>
          <w:szCs w:val="22"/>
        </w:rPr>
        <w:t xml:space="preserve"> </w:t>
      </w:r>
      <w:r w:rsidR="008C68E7" w:rsidRPr="000116FB">
        <w:rPr>
          <w:rFonts w:ascii="Times New Roman" w:eastAsia="Times New Roman" w:hAnsi="Times New Roman" w:cs="Times New Roman"/>
          <w:color w:val="000000"/>
          <w:sz w:val="22"/>
          <w:szCs w:val="22"/>
        </w:rPr>
        <w:t>disease." Biology of Blood and Marrow Transplantation 21.8 (2015): 1373-1383.</w:t>
      </w:r>
    </w:p>
    <w:p w14:paraId="42EA2A2A" w14:textId="77777777" w:rsidR="006D1415" w:rsidRPr="000116FB" w:rsidRDefault="006D1415" w:rsidP="00FC66B4">
      <w:pPr>
        <w:jc w:val="both"/>
        <w:rPr>
          <w:rFonts w:ascii="Times New Roman" w:eastAsia="Times New Roman" w:hAnsi="Times New Roman" w:cs="Times New Roman"/>
          <w:color w:val="000000"/>
          <w:sz w:val="22"/>
          <w:szCs w:val="22"/>
        </w:rPr>
      </w:pPr>
    </w:p>
    <w:p w14:paraId="163F0A11" w14:textId="622CACD0" w:rsidR="008C68E7" w:rsidRPr="000116FB" w:rsidRDefault="005901A8" w:rsidP="00FC66B4">
      <w:pPr>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 xml:space="preserve">[2] </w:t>
      </w:r>
      <w:r w:rsidR="008C68E7" w:rsidRPr="000116FB">
        <w:rPr>
          <w:rFonts w:ascii="Times New Roman" w:eastAsia="Times New Roman" w:hAnsi="Times New Roman" w:cs="Times New Roman"/>
          <w:color w:val="000000"/>
          <w:sz w:val="22"/>
          <w:szCs w:val="22"/>
        </w:rPr>
        <w:t>Stein-</w:t>
      </w:r>
      <w:proofErr w:type="spellStart"/>
      <w:r w:rsidR="008C68E7" w:rsidRPr="000116FB">
        <w:rPr>
          <w:rFonts w:ascii="Times New Roman" w:eastAsia="Times New Roman" w:hAnsi="Times New Roman" w:cs="Times New Roman"/>
          <w:color w:val="000000"/>
          <w:sz w:val="22"/>
          <w:szCs w:val="22"/>
        </w:rPr>
        <w:t>Thoeringer</w:t>
      </w:r>
      <w:proofErr w:type="spellEnd"/>
      <w:r w:rsidR="008C68E7" w:rsidRPr="000116FB">
        <w:rPr>
          <w:rFonts w:ascii="Times New Roman" w:eastAsia="Times New Roman" w:hAnsi="Times New Roman" w:cs="Times New Roman"/>
          <w:color w:val="000000"/>
          <w:sz w:val="22"/>
          <w:szCs w:val="22"/>
        </w:rPr>
        <w:t>, C. K., et al. "Lactose drives Enterococcus expansion to promote graft-versus-host</w:t>
      </w:r>
      <w:r w:rsidR="00762829" w:rsidRPr="000116FB">
        <w:rPr>
          <w:rFonts w:ascii="Times New Roman" w:eastAsia="Times New Roman" w:hAnsi="Times New Roman" w:cs="Times New Roman"/>
          <w:color w:val="000000"/>
          <w:sz w:val="22"/>
          <w:szCs w:val="22"/>
        </w:rPr>
        <w:t xml:space="preserve"> </w:t>
      </w:r>
      <w:r w:rsidR="008C68E7" w:rsidRPr="000116FB">
        <w:rPr>
          <w:rFonts w:ascii="Times New Roman" w:eastAsia="Times New Roman" w:hAnsi="Times New Roman" w:cs="Times New Roman"/>
          <w:color w:val="000000"/>
          <w:sz w:val="22"/>
          <w:szCs w:val="22"/>
        </w:rPr>
        <w:t>disease." Science</w:t>
      </w:r>
      <w:r w:rsidR="00235039" w:rsidRPr="000116FB">
        <w:rPr>
          <w:rFonts w:ascii="Times New Roman" w:eastAsia="Times New Roman" w:hAnsi="Times New Roman" w:cs="Times New Roman"/>
          <w:color w:val="000000"/>
          <w:sz w:val="22"/>
          <w:szCs w:val="22"/>
        </w:rPr>
        <w:t xml:space="preserve"> </w:t>
      </w:r>
      <w:r w:rsidR="008C68E7" w:rsidRPr="000116FB">
        <w:rPr>
          <w:rFonts w:ascii="Times New Roman" w:eastAsia="Times New Roman" w:hAnsi="Times New Roman" w:cs="Times New Roman"/>
          <w:color w:val="000000"/>
          <w:sz w:val="22"/>
          <w:szCs w:val="22"/>
        </w:rPr>
        <w:t>366.6469 (2019): 1143-1149.</w:t>
      </w:r>
    </w:p>
    <w:p w14:paraId="33D41B50" w14:textId="77777777" w:rsidR="008C68E7" w:rsidRPr="000116FB" w:rsidRDefault="008C68E7" w:rsidP="00FC66B4">
      <w:pPr>
        <w:jc w:val="both"/>
        <w:rPr>
          <w:rFonts w:ascii="Times New Roman" w:eastAsia="Times New Roman" w:hAnsi="Times New Roman" w:cs="Times New Roman"/>
          <w:color w:val="000000"/>
          <w:sz w:val="22"/>
          <w:szCs w:val="22"/>
        </w:rPr>
      </w:pPr>
    </w:p>
    <w:p w14:paraId="62DD0371" w14:textId="508F84A0" w:rsidR="005901A8" w:rsidRPr="000116FB" w:rsidRDefault="005901A8" w:rsidP="00FC66B4">
      <w:pPr>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 xml:space="preserve">[3] </w:t>
      </w:r>
      <w:bookmarkStart w:id="34" w:name="OLE_LINK57"/>
      <w:bookmarkStart w:id="35" w:name="OLE_LINK58"/>
      <w:r w:rsidR="008C68E7" w:rsidRPr="000116FB">
        <w:rPr>
          <w:rFonts w:ascii="Times New Roman" w:eastAsia="Times New Roman" w:hAnsi="Times New Roman" w:cs="Times New Roman"/>
          <w:color w:val="000000"/>
          <w:sz w:val="22"/>
          <w:szCs w:val="22"/>
        </w:rPr>
        <w:t>Markey, Kate A., et al. "</w:t>
      </w:r>
      <w:bookmarkStart w:id="36" w:name="OLE_LINK138"/>
      <w:bookmarkStart w:id="37" w:name="OLE_LINK139"/>
      <w:r w:rsidR="008C68E7" w:rsidRPr="000116FB">
        <w:rPr>
          <w:rFonts w:ascii="Times New Roman" w:eastAsia="Times New Roman" w:hAnsi="Times New Roman" w:cs="Times New Roman"/>
          <w:color w:val="000000"/>
          <w:sz w:val="22"/>
          <w:szCs w:val="22"/>
        </w:rPr>
        <w:t>Microbe-derived short chain fatty acids butyrate and propionate are</w:t>
      </w:r>
      <w:r w:rsidR="00762829" w:rsidRPr="000116FB">
        <w:rPr>
          <w:rFonts w:ascii="Times New Roman" w:eastAsia="Times New Roman" w:hAnsi="Times New Roman" w:cs="Times New Roman"/>
          <w:color w:val="000000"/>
          <w:sz w:val="22"/>
          <w:szCs w:val="22"/>
        </w:rPr>
        <w:t xml:space="preserve"> </w:t>
      </w:r>
      <w:r w:rsidR="008C68E7" w:rsidRPr="000116FB">
        <w:rPr>
          <w:rFonts w:ascii="Times New Roman" w:eastAsia="Times New Roman" w:hAnsi="Times New Roman" w:cs="Times New Roman"/>
          <w:color w:val="000000"/>
          <w:sz w:val="22"/>
          <w:szCs w:val="22"/>
        </w:rPr>
        <w:t>associated with protection from chronic GVHD</w:t>
      </w:r>
      <w:bookmarkEnd w:id="36"/>
      <w:bookmarkEnd w:id="37"/>
      <w:r w:rsidR="008C68E7" w:rsidRPr="000116FB">
        <w:rPr>
          <w:rFonts w:ascii="Times New Roman" w:eastAsia="Times New Roman" w:hAnsi="Times New Roman" w:cs="Times New Roman"/>
          <w:color w:val="000000"/>
          <w:sz w:val="22"/>
          <w:szCs w:val="22"/>
        </w:rPr>
        <w:t>." Blood Journal (2020): blood-2019003369.</w:t>
      </w:r>
      <w:bookmarkEnd w:id="34"/>
      <w:bookmarkEnd w:id="35"/>
    </w:p>
    <w:p w14:paraId="2CDFBE3A" w14:textId="1E917138" w:rsidR="00FC66B4" w:rsidRPr="000116FB" w:rsidRDefault="00FC66B4" w:rsidP="00FC66B4">
      <w:pPr>
        <w:jc w:val="both"/>
        <w:rPr>
          <w:rFonts w:ascii="Times New Roman" w:eastAsia="Times New Roman" w:hAnsi="Times New Roman" w:cs="Times New Roman"/>
          <w:color w:val="000000"/>
          <w:sz w:val="22"/>
          <w:szCs w:val="22"/>
        </w:rPr>
      </w:pPr>
    </w:p>
    <w:p w14:paraId="19BC1F57" w14:textId="4F4F69C4" w:rsidR="00FC66B4" w:rsidRPr="000116FB" w:rsidRDefault="00FC66B4" w:rsidP="00FC66B4">
      <w:pPr>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 xml:space="preserve">[4] </w:t>
      </w:r>
      <w:proofErr w:type="spellStart"/>
      <w:r w:rsidRPr="000116FB">
        <w:rPr>
          <w:rFonts w:ascii="Times New Roman" w:eastAsia="Times New Roman" w:hAnsi="Times New Roman" w:cs="Times New Roman"/>
          <w:color w:val="000000"/>
          <w:sz w:val="22"/>
          <w:szCs w:val="22"/>
        </w:rPr>
        <w:t>Morjaria</w:t>
      </w:r>
      <w:proofErr w:type="spellEnd"/>
      <w:r w:rsidRPr="000116FB">
        <w:rPr>
          <w:rFonts w:ascii="Times New Roman" w:eastAsia="Times New Roman" w:hAnsi="Times New Roman" w:cs="Times New Roman"/>
          <w:color w:val="000000"/>
          <w:sz w:val="22"/>
          <w:szCs w:val="22"/>
        </w:rPr>
        <w:t xml:space="preserve">, </w:t>
      </w:r>
      <w:proofErr w:type="spellStart"/>
      <w:r w:rsidRPr="000116FB">
        <w:rPr>
          <w:rFonts w:ascii="Times New Roman" w:eastAsia="Times New Roman" w:hAnsi="Times New Roman" w:cs="Times New Roman"/>
          <w:color w:val="000000"/>
          <w:sz w:val="22"/>
          <w:szCs w:val="22"/>
        </w:rPr>
        <w:t>Sejal</w:t>
      </w:r>
      <w:proofErr w:type="spellEnd"/>
      <w:r w:rsidRPr="000116FB">
        <w:rPr>
          <w:rFonts w:ascii="Times New Roman" w:eastAsia="Times New Roman" w:hAnsi="Times New Roman" w:cs="Times New Roman"/>
          <w:color w:val="000000"/>
          <w:sz w:val="22"/>
          <w:szCs w:val="22"/>
        </w:rPr>
        <w:t>, et al. "Antibiotic-induced shifts in fecal microbiota density and composition during hematopoietic stem cell transplantation." Infection and immunity 87.9 (2019): e00206-19.</w:t>
      </w:r>
    </w:p>
    <w:p w14:paraId="4CB12305" w14:textId="610B19DB" w:rsidR="00FC66B4" w:rsidRPr="000116FB" w:rsidRDefault="00FC66B4" w:rsidP="00FC66B4">
      <w:pPr>
        <w:jc w:val="both"/>
        <w:rPr>
          <w:rFonts w:ascii="Times New Roman" w:eastAsia="Times New Roman" w:hAnsi="Times New Roman" w:cs="Times New Roman"/>
          <w:color w:val="000000"/>
          <w:sz w:val="22"/>
          <w:szCs w:val="22"/>
        </w:rPr>
      </w:pPr>
    </w:p>
    <w:p w14:paraId="3F8DEBF0" w14:textId="0B3CC686" w:rsidR="00FC66B4" w:rsidRPr="00FC66B4" w:rsidRDefault="00FC66B4" w:rsidP="00FC66B4">
      <w:pPr>
        <w:jc w:val="both"/>
        <w:rPr>
          <w:rFonts w:ascii="Times New Roman" w:eastAsia="Times New Roman" w:hAnsi="Times New Roman" w:cs="Times New Roman"/>
          <w:color w:val="000000"/>
          <w:sz w:val="22"/>
          <w:szCs w:val="22"/>
        </w:rPr>
      </w:pPr>
      <w:r w:rsidRPr="000116FB">
        <w:rPr>
          <w:rFonts w:ascii="Times New Roman" w:eastAsia="Times New Roman" w:hAnsi="Times New Roman" w:cs="Times New Roman"/>
          <w:color w:val="000000"/>
          <w:sz w:val="22"/>
          <w:szCs w:val="22"/>
        </w:rPr>
        <w:t>[5]</w:t>
      </w:r>
      <w:r w:rsidR="00E11CE1" w:rsidRPr="000116FB">
        <w:rPr>
          <w:rFonts w:ascii="Times New Roman" w:eastAsia="Times New Roman" w:hAnsi="Times New Roman" w:cs="Times New Roman"/>
          <w:color w:val="000000"/>
          <w:sz w:val="22"/>
          <w:szCs w:val="22"/>
        </w:rPr>
        <w:t xml:space="preserve"> </w:t>
      </w:r>
      <w:r w:rsidRPr="000116FB">
        <w:rPr>
          <w:rFonts w:ascii="Times New Roman" w:eastAsia="Times New Roman" w:hAnsi="Times New Roman" w:cs="Times New Roman"/>
          <w:color w:val="000000"/>
          <w:sz w:val="22"/>
          <w:szCs w:val="22"/>
        </w:rPr>
        <w:t>Schluter, Jonas, et al. "The gut microbiota is associated with immune cell dynamics in humans." Nature (2020): 1-5.</w:t>
      </w:r>
    </w:p>
    <w:p w14:paraId="505CCA7A" w14:textId="42A1277C" w:rsidR="00FC66B4" w:rsidRPr="00C01374" w:rsidRDefault="00FC66B4" w:rsidP="00762829">
      <w:pPr>
        <w:jc w:val="both"/>
        <w:rPr>
          <w:rFonts w:ascii="Times New Roman" w:eastAsia="Times New Roman" w:hAnsi="Times New Roman" w:cs="Times New Roman"/>
          <w:color w:val="000000"/>
          <w:sz w:val="22"/>
          <w:szCs w:val="22"/>
        </w:rPr>
      </w:pPr>
    </w:p>
    <w:sectPr w:rsidR="00FC66B4" w:rsidRPr="00C01374" w:rsidSect="0046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6C0E"/>
    <w:multiLevelType w:val="hybridMultilevel"/>
    <w:tmpl w:val="213A0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417E2D"/>
    <w:multiLevelType w:val="multilevel"/>
    <w:tmpl w:val="D0F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5E"/>
    <w:rsid w:val="000063D7"/>
    <w:rsid w:val="00010756"/>
    <w:rsid w:val="000116FB"/>
    <w:rsid w:val="000140C8"/>
    <w:rsid w:val="00016AE0"/>
    <w:rsid w:val="00017830"/>
    <w:rsid w:val="00044EFB"/>
    <w:rsid w:val="000522E9"/>
    <w:rsid w:val="0005370F"/>
    <w:rsid w:val="00054A29"/>
    <w:rsid w:val="00060AB1"/>
    <w:rsid w:val="00085CF9"/>
    <w:rsid w:val="000C0D45"/>
    <w:rsid w:val="000F045E"/>
    <w:rsid w:val="001032BB"/>
    <w:rsid w:val="0010570E"/>
    <w:rsid w:val="001158CA"/>
    <w:rsid w:val="00136C34"/>
    <w:rsid w:val="0015621E"/>
    <w:rsid w:val="00183B57"/>
    <w:rsid w:val="001A1A69"/>
    <w:rsid w:val="001C6A7C"/>
    <w:rsid w:val="001D747C"/>
    <w:rsid w:val="00213408"/>
    <w:rsid w:val="0023396C"/>
    <w:rsid w:val="00235039"/>
    <w:rsid w:val="00250E25"/>
    <w:rsid w:val="002515A3"/>
    <w:rsid w:val="00252EA6"/>
    <w:rsid w:val="002546FC"/>
    <w:rsid w:val="00283CC7"/>
    <w:rsid w:val="002841AA"/>
    <w:rsid w:val="002A2CFB"/>
    <w:rsid w:val="002D3600"/>
    <w:rsid w:val="002F69ED"/>
    <w:rsid w:val="002F6F55"/>
    <w:rsid w:val="003138CF"/>
    <w:rsid w:val="00320E21"/>
    <w:rsid w:val="003243BE"/>
    <w:rsid w:val="00326DF1"/>
    <w:rsid w:val="00332CA7"/>
    <w:rsid w:val="00336B8B"/>
    <w:rsid w:val="00366F15"/>
    <w:rsid w:val="00371379"/>
    <w:rsid w:val="00393DEF"/>
    <w:rsid w:val="003A2FC2"/>
    <w:rsid w:val="003B2813"/>
    <w:rsid w:val="003D18D6"/>
    <w:rsid w:val="003D4CF7"/>
    <w:rsid w:val="003D4DA3"/>
    <w:rsid w:val="00414E96"/>
    <w:rsid w:val="004256C4"/>
    <w:rsid w:val="00427DA5"/>
    <w:rsid w:val="00431F57"/>
    <w:rsid w:val="0046600E"/>
    <w:rsid w:val="004836A5"/>
    <w:rsid w:val="004A6DF1"/>
    <w:rsid w:val="004B1CC3"/>
    <w:rsid w:val="004B3349"/>
    <w:rsid w:val="004D1D97"/>
    <w:rsid w:val="004F2F27"/>
    <w:rsid w:val="00534330"/>
    <w:rsid w:val="00540509"/>
    <w:rsid w:val="0054340B"/>
    <w:rsid w:val="00547C8D"/>
    <w:rsid w:val="00556710"/>
    <w:rsid w:val="00565D92"/>
    <w:rsid w:val="00566EB4"/>
    <w:rsid w:val="00584872"/>
    <w:rsid w:val="005901A8"/>
    <w:rsid w:val="005A70F7"/>
    <w:rsid w:val="005E46C6"/>
    <w:rsid w:val="005F4CCD"/>
    <w:rsid w:val="00600DBB"/>
    <w:rsid w:val="00606447"/>
    <w:rsid w:val="006241DF"/>
    <w:rsid w:val="006267B5"/>
    <w:rsid w:val="006304DC"/>
    <w:rsid w:val="006358BD"/>
    <w:rsid w:val="00636985"/>
    <w:rsid w:val="006638A6"/>
    <w:rsid w:val="006661E3"/>
    <w:rsid w:val="006A6229"/>
    <w:rsid w:val="006D1415"/>
    <w:rsid w:val="006F5EF3"/>
    <w:rsid w:val="00713206"/>
    <w:rsid w:val="00715410"/>
    <w:rsid w:val="00726620"/>
    <w:rsid w:val="007354E5"/>
    <w:rsid w:val="00762829"/>
    <w:rsid w:val="00791BFF"/>
    <w:rsid w:val="007B31AB"/>
    <w:rsid w:val="007B62D8"/>
    <w:rsid w:val="007D3481"/>
    <w:rsid w:val="007D558B"/>
    <w:rsid w:val="007E04CF"/>
    <w:rsid w:val="007F7179"/>
    <w:rsid w:val="00806E05"/>
    <w:rsid w:val="00812ADC"/>
    <w:rsid w:val="00815E5A"/>
    <w:rsid w:val="00836E5F"/>
    <w:rsid w:val="0084230E"/>
    <w:rsid w:val="008435C7"/>
    <w:rsid w:val="00847FA8"/>
    <w:rsid w:val="00861BCB"/>
    <w:rsid w:val="00861EFF"/>
    <w:rsid w:val="008700D1"/>
    <w:rsid w:val="008B0E29"/>
    <w:rsid w:val="008B142A"/>
    <w:rsid w:val="008B6E6A"/>
    <w:rsid w:val="008C5F98"/>
    <w:rsid w:val="008C68E7"/>
    <w:rsid w:val="00953622"/>
    <w:rsid w:val="00956C5A"/>
    <w:rsid w:val="00957D4F"/>
    <w:rsid w:val="0099181A"/>
    <w:rsid w:val="009A0CDA"/>
    <w:rsid w:val="009C1071"/>
    <w:rsid w:val="009C373E"/>
    <w:rsid w:val="009C749A"/>
    <w:rsid w:val="009F09D5"/>
    <w:rsid w:val="009F0E60"/>
    <w:rsid w:val="00A026B4"/>
    <w:rsid w:val="00A04537"/>
    <w:rsid w:val="00A06894"/>
    <w:rsid w:val="00A40918"/>
    <w:rsid w:val="00A510A7"/>
    <w:rsid w:val="00A67EB5"/>
    <w:rsid w:val="00A765CD"/>
    <w:rsid w:val="00A91077"/>
    <w:rsid w:val="00AB59F7"/>
    <w:rsid w:val="00AC4786"/>
    <w:rsid w:val="00AE060A"/>
    <w:rsid w:val="00AE6BDB"/>
    <w:rsid w:val="00AE6D03"/>
    <w:rsid w:val="00B011FF"/>
    <w:rsid w:val="00B17E09"/>
    <w:rsid w:val="00B231EA"/>
    <w:rsid w:val="00B76161"/>
    <w:rsid w:val="00B77DD9"/>
    <w:rsid w:val="00BC3471"/>
    <w:rsid w:val="00BE7D17"/>
    <w:rsid w:val="00C01217"/>
    <w:rsid w:val="00C01374"/>
    <w:rsid w:val="00C100BA"/>
    <w:rsid w:val="00C22AC1"/>
    <w:rsid w:val="00C34236"/>
    <w:rsid w:val="00C43B9A"/>
    <w:rsid w:val="00C94146"/>
    <w:rsid w:val="00CA6F32"/>
    <w:rsid w:val="00CC5051"/>
    <w:rsid w:val="00CD131F"/>
    <w:rsid w:val="00CF6315"/>
    <w:rsid w:val="00D433D5"/>
    <w:rsid w:val="00D63524"/>
    <w:rsid w:val="00D66875"/>
    <w:rsid w:val="00DA3004"/>
    <w:rsid w:val="00DC3B27"/>
    <w:rsid w:val="00DE154A"/>
    <w:rsid w:val="00DF5C46"/>
    <w:rsid w:val="00E1123B"/>
    <w:rsid w:val="00E11CE1"/>
    <w:rsid w:val="00E1461C"/>
    <w:rsid w:val="00E4144F"/>
    <w:rsid w:val="00E74C0F"/>
    <w:rsid w:val="00E77849"/>
    <w:rsid w:val="00EA14CC"/>
    <w:rsid w:val="00EA248E"/>
    <w:rsid w:val="00EC077C"/>
    <w:rsid w:val="00ED2407"/>
    <w:rsid w:val="00ED2E2C"/>
    <w:rsid w:val="00ED76B7"/>
    <w:rsid w:val="00F04A96"/>
    <w:rsid w:val="00F504A1"/>
    <w:rsid w:val="00F67C5F"/>
    <w:rsid w:val="00F82B9E"/>
    <w:rsid w:val="00F84702"/>
    <w:rsid w:val="00FA1B50"/>
    <w:rsid w:val="00FA77C2"/>
    <w:rsid w:val="00FB58E8"/>
    <w:rsid w:val="00FC66B4"/>
    <w:rsid w:val="00FE0E8B"/>
    <w:rsid w:val="00FF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DD1"/>
  <w15:chartTrackingRefBased/>
  <w15:docId w15:val="{46F45C20-74A4-394B-A5B9-42A875DA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D1"/>
  </w:style>
  <w:style w:type="paragraph" w:styleId="Heading1">
    <w:name w:val="heading 1"/>
    <w:basedOn w:val="Normal"/>
    <w:link w:val="Heading1Char"/>
    <w:uiPriority w:val="9"/>
    <w:qFormat/>
    <w:rsid w:val="005901A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045E"/>
  </w:style>
  <w:style w:type="character" w:styleId="Hyperlink">
    <w:name w:val="Hyperlink"/>
    <w:basedOn w:val="DefaultParagraphFont"/>
    <w:uiPriority w:val="99"/>
    <w:unhideWhenUsed/>
    <w:rsid w:val="000F045E"/>
    <w:rPr>
      <w:color w:val="0000FF"/>
      <w:u w:val="single"/>
    </w:rPr>
  </w:style>
  <w:style w:type="paragraph" w:styleId="ListParagraph">
    <w:name w:val="List Paragraph"/>
    <w:basedOn w:val="Normal"/>
    <w:uiPriority w:val="34"/>
    <w:qFormat/>
    <w:rsid w:val="00E77849"/>
    <w:pPr>
      <w:ind w:left="720"/>
      <w:contextualSpacing/>
    </w:pPr>
  </w:style>
  <w:style w:type="character" w:customStyle="1" w:styleId="Heading1Char">
    <w:name w:val="Heading 1 Char"/>
    <w:basedOn w:val="DefaultParagraphFont"/>
    <w:link w:val="Heading1"/>
    <w:uiPriority w:val="9"/>
    <w:rsid w:val="005901A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8700D1"/>
    <w:rPr>
      <w:color w:val="605E5C"/>
      <w:shd w:val="clear" w:color="auto" w:fill="E1DFDD"/>
    </w:rPr>
  </w:style>
  <w:style w:type="character" w:styleId="FollowedHyperlink">
    <w:name w:val="FollowedHyperlink"/>
    <w:basedOn w:val="DefaultParagraphFont"/>
    <w:uiPriority w:val="99"/>
    <w:semiHidden/>
    <w:unhideWhenUsed/>
    <w:rsid w:val="001C6A7C"/>
    <w:rPr>
      <w:color w:val="954F72" w:themeColor="followedHyperlink"/>
      <w:u w:val="single"/>
    </w:rPr>
  </w:style>
  <w:style w:type="paragraph" w:styleId="BalloonText">
    <w:name w:val="Balloon Text"/>
    <w:basedOn w:val="Normal"/>
    <w:link w:val="BalloonTextChar"/>
    <w:uiPriority w:val="99"/>
    <w:semiHidden/>
    <w:unhideWhenUsed/>
    <w:rsid w:val="001032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2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83177">
      <w:bodyDiv w:val="1"/>
      <w:marLeft w:val="0"/>
      <w:marRight w:val="0"/>
      <w:marTop w:val="0"/>
      <w:marBottom w:val="0"/>
      <w:divBdr>
        <w:top w:val="none" w:sz="0" w:space="0" w:color="auto"/>
        <w:left w:val="none" w:sz="0" w:space="0" w:color="auto"/>
        <w:bottom w:val="none" w:sz="0" w:space="0" w:color="auto"/>
        <w:right w:val="none" w:sz="0" w:space="0" w:color="auto"/>
      </w:divBdr>
    </w:div>
    <w:div w:id="472795453">
      <w:bodyDiv w:val="1"/>
      <w:marLeft w:val="0"/>
      <w:marRight w:val="0"/>
      <w:marTop w:val="0"/>
      <w:marBottom w:val="0"/>
      <w:divBdr>
        <w:top w:val="none" w:sz="0" w:space="0" w:color="auto"/>
        <w:left w:val="none" w:sz="0" w:space="0" w:color="auto"/>
        <w:bottom w:val="none" w:sz="0" w:space="0" w:color="auto"/>
        <w:right w:val="none" w:sz="0" w:space="0" w:color="auto"/>
      </w:divBdr>
    </w:div>
    <w:div w:id="524174672">
      <w:bodyDiv w:val="1"/>
      <w:marLeft w:val="0"/>
      <w:marRight w:val="0"/>
      <w:marTop w:val="0"/>
      <w:marBottom w:val="0"/>
      <w:divBdr>
        <w:top w:val="none" w:sz="0" w:space="0" w:color="auto"/>
        <w:left w:val="none" w:sz="0" w:space="0" w:color="auto"/>
        <w:bottom w:val="none" w:sz="0" w:space="0" w:color="auto"/>
        <w:right w:val="none" w:sz="0" w:space="0" w:color="auto"/>
      </w:divBdr>
    </w:div>
    <w:div w:id="674916616">
      <w:bodyDiv w:val="1"/>
      <w:marLeft w:val="0"/>
      <w:marRight w:val="0"/>
      <w:marTop w:val="0"/>
      <w:marBottom w:val="0"/>
      <w:divBdr>
        <w:top w:val="none" w:sz="0" w:space="0" w:color="auto"/>
        <w:left w:val="none" w:sz="0" w:space="0" w:color="auto"/>
        <w:bottom w:val="none" w:sz="0" w:space="0" w:color="auto"/>
        <w:right w:val="none" w:sz="0" w:space="0" w:color="auto"/>
      </w:divBdr>
    </w:div>
    <w:div w:id="724328535">
      <w:bodyDiv w:val="1"/>
      <w:marLeft w:val="0"/>
      <w:marRight w:val="0"/>
      <w:marTop w:val="0"/>
      <w:marBottom w:val="0"/>
      <w:divBdr>
        <w:top w:val="none" w:sz="0" w:space="0" w:color="auto"/>
        <w:left w:val="none" w:sz="0" w:space="0" w:color="auto"/>
        <w:bottom w:val="none" w:sz="0" w:space="0" w:color="auto"/>
        <w:right w:val="none" w:sz="0" w:space="0" w:color="auto"/>
      </w:divBdr>
    </w:div>
    <w:div w:id="973560786">
      <w:bodyDiv w:val="1"/>
      <w:marLeft w:val="0"/>
      <w:marRight w:val="0"/>
      <w:marTop w:val="0"/>
      <w:marBottom w:val="0"/>
      <w:divBdr>
        <w:top w:val="none" w:sz="0" w:space="0" w:color="auto"/>
        <w:left w:val="none" w:sz="0" w:space="0" w:color="auto"/>
        <w:bottom w:val="none" w:sz="0" w:space="0" w:color="auto"/>
        <w:right w:val="none" w:sz="0" w:space="0" w:color="auto"/>
      </w:divBdr>
    </w:div>
    <w:div w:id="1384717425">
      <w:bodyDiv w:val="1"/>
      <w:marLeft w:val="0"/>
      <w:marRight w:val="0"/>
      <w:marTop w:val="0"/>
      <w:marBottom w:val="0"/>
      <w:divBdr>
        <w:top w:val="none" w:sz="0" w:space="0" w:color="auto"/>
        <w:left w:val="none" w:sz="0" w:space="0" w:color="auto"/>
        <w:bottom w:val="none" w:sz="0" w:space="0" w:color="auto"/>
        <w:right w:val="none" w:sz="0" w:space="0" w:color="auto"/>
      </w:divBdr>
    </w:div>
    <w:div w:id="1508132863">
      <w:bodyDiv w:val="1"/>
      <w:marLeft w:val="0"/>
      <w:marRight w:val="0"/>
      <w:marTop w:val="0"/>
      <w:marBottom w:val="0"/>
      <w:divBdr>
        <w:top w:val="none" w:sz="0" w:space="0" w:color="auto"/>
        <w:left w:val="none" w:sz="0" w:space="0" w:color="auto"/>
        <w:bottom w:val="none" w:sz="0" w:space="0" w:color="auto"/>
        <w:right w:val="none" w:sz="0" w:space="0" w:color="auto"/>
      </w:divBdr>
    </w:div>
    <w:div w:id="1576429828">
      <w:bodyDiv w:val="1"/>
      <w:marLeft w:val="0"/>
      <w:marRight w:val="0"/>
      <w:marTop w:val="0"/>
      <w:marBottom w:val="0"/>
      <w:divBdr>
        <w:top w:val="none" w:sz="0" w:space="0" w:color="auto"/>
        <w:left w:val="none" w:sz="0" w:space="0" w:color="auto"/>
        <w:bottom w:val="none" w:sz="0" w:space="0" w:color="auto"/>
        <w:right w:val="none" w:sz="0" w:space="0" w:color="auto"/>
      </w:divBdr>
    </w:div>
    <w:div w:id="1629584922">
      <w:bodyDiv w:val="1"/>
      <w:marLeft w:val="0"/>
      <w:marRight w:val="0"/>
      <w:marTop w:val="0"/>
      <w:marBottom w:val="0"/>
      <w:divBdr>
        <w:top w:val="none" w:sz="0" w:space="0" w:color="auto"/>
        <w:left w:val="none" w:sz="0" w:space="0" w:color="auto"/>
        <w:bottom w:val="none" w:sz="0" w:space="0" w:color="auto"/>
        <w:right w:val="none" w:sz="0" w:space="0" w:color="auto"/>
      </w:divBdr>
    </w:div>
    <w:div w:id="1842162095">
      <w:bodyDiv w:val="1"/>
      <w:marLeft w:val="0"/>
      <w:marRight w:val="0"/>
      <w:marTop w:val="0"/>
      <w:marBottom w:val="0"/>
      <w:divBdr>
        <w:top w:val="none" w:sz="0" w:space="0" w:color="auto"/>
        <w:left w:val="none" w:sz="0" w:space="0" w:color="auto"/>
        <w:bottom w:val="none" w:sz="0" w:space="0" w:color="auto"/>
        <w:right w:val="none" w:sz="0" w:space="0" w:color="auto"/>
      </w:divBdr>
    </w:div>
    <w:div w:id="2099061995">
      <w:bodyDiv w:val="1"/>
      <w:marLeft w:val="0"/>
      <w:marRight w:val="0"/>
      <w:marTop w:val="0"/>
      <w:marBottom w:val="0"/>
      <w:divBdr>
        <w:top w:val="none" w:sz="0" w:space="0" w:color="auto"/>
        <w:left w:val="none" w:sz="0" w:space="0" w:color="auto"/>
        <w:bottom w:val="none" w:sz="0" w:space="0" w:color="auto"/>
        <w:right w:val="none" w:sz="0" w:space="0" w:color="auto"/>
      </w:divBdr>
    </w:div>
    <w:div w:id="21317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6084/m9.figshare.1201698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04A6-20F2-CA4D-818C-0EAFA0FF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Liao</dc:creator>
  <cp:keywords/>
  <dc:description/>
  <cp:lastModifiedBy>Chen Liao</cp:lastModifiedBy>
  <cp:revision>167</cp:revision>
  <dcterms:created xsi:type="dcterms:W3CDTF">2021-01-14T22:13:00Z</dcterms:created>
  <dcterms:modified xsi:type="dcterms:W3CDTF">2021-01-19T13:33:00Z</dcterms:modified>
</cp:coreProperties>
</file>