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58D44376" w:rsidR="00CD2F67" w:rsidRPr="00AC26F8" w:rsidRDefault="00582C9D" w:rsidP="00A00A4E">
      <w:r w:rsidRPr="00AC26F8">
        <w:rPr>
          <w:b/>
          <w:bCs/>
          <w:kern w:val="28"/>
          <w:sz w:val="28"/>
          <w:szCs w:val="28"/>
        </w:rPr>
        <w:t>Intestinal enrichment of o</w:t>
      </w:r>
      <w:r w:rsidR="00CD2F67" w:rsidRPr="00AC26F8">
        <w:rPr>
          <w:b/>
          <w:bCs/>
          <w:kern w:val="28"/>
          <w:sz w:val="28"/>
          <w:szCs w:val="28"/>
        </w:rPr>
        <w:t>ral</w:t>
      </w:r>
      <w:r w:rsidRPr="00AC26F8">
        <w:rPr>
          <w:b/>
          <w:bCs/>
          <w:kern w:val="28"/>
          <w:sz w:val="28"/>
          <w:szCs w:val="28"/>
        </w:rPr>
        <w:t>-typical</w:t>
      </w:r>
      <w:r w:rsidR="00CD2F67" w:rsidRPr="00AC26F8">
        <w:rPr>
          <w:b/>
          <w:bCs/>
          <w:kern w:val="28"/>
          <w:sz w:val="28"/>
          <w:szCs w:val="28"/>
        </w:rPr>
        <w:t xml:space="preserve"> bacteria in feces </w:t>
      </w:r>
      <w:r w:rsidRPr="00AC26F8">
        <w:rPr>
          <w:b/>
          <w:bCs/>
          <w:kern w:val="28"/>
          <w:sz w:val="28"/>
          <w:szCs w:val="28"/>
        </w:rPr>
        <w:t>reflects depletion</w:t>
      </w:r>
      <w:r w:rsidR="00CD2F67" w:rsidRPr="00AC26F8">
        <w:rPr>
          <w:b/>
          <w:bCs/>
          <w:kern w:val="28"/>
          <w:sz w:val="28"/>
          <w:szCs w:val="28"/>
        </w:rPr>
        <w:t xml:space="preserve"> of </w:t>
      </w:r>
      <w:r w:rsidRPr="00AC26F8">
        <w:rPr>
          <w:b/>
          <w:bCs/>
          <w:kern w:val="28"/>
          <w:sz w:val="28"/>
          <w:szCs w:val="28"/>
        </w:rPr>
        <w:t>gut commensals</w:t>
      </w:r>
    </w:p>
    <w:p w14:paraId="109869DD" w14:textId="77777777" w:rsidR="007B012B" w:rsidRPr="00AC26F8" w:rsidRDefault="007B012B" w:rsidP="00A00A4E"/>
    <w:p w14:paraId="10A292A5" w14:textId="41B03AC4" w:rsidR="00F33DD4" w:rsidRPr="00AC26F8" w:rsidRDefault="00F33DD4" w:rsidP="00A00A4E">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Pr="00AC26F8">
        <w:rPr>
          <w:vertAlign w:val="superscript"/>
        </w:rPr>
        <w:t xml:space="preserve">, </w:t>
      </w:r>
      <w:r w:rsidRPr="00AC26F8">
        <w:t>Bing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A00A4E"/>
    <w:p w14:paraId="054DB006" w14:textId="20CDDDFF" w:rsidR="007B012B" w:rsidRPr="00AC26F8" w:rsidRDefault="007B012B" w:rsidP="00A00A4E">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A00A4E">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A00A4E">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A00A4E">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A00A4E">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A00A4E">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A00A4E">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A00A4E">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A00A4E">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A00A4E">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A00A4E">
      <w:pPr>
        <w:rPr>
          <w:color w:val="000000"/>
        </w:rPr>
      </w:pPr>
    </w:p>
    <w:p w14:paraId="534D4709" w14:textId="6DF3EBE3" w:rsidR="007363DB" w:rsidRPr="00AC26F8" w:rsidRDefault="00D928C2" w:rsidP="00A00A4E">
      <w:pPr>
        <w:rPr>
          <w:b/>
          <w:bCs/>
        </w:rPr>
      </w:pPr>
      <w:r w:rsidRPr="00AC26F8">
        <w:rPr>
          <w:b/>
          <w:bCs/>
        </w:rPr>
        <w:t>SUMMARY</w:t>
      </w:r>
    </w:p>
    <w:p w14:paraId="6B43805C" w14:textId="4FD062C7" w:rsidR="00357455" w:rsidRPr="00AC26F8" w:rsidRDefault="00741D4A" w:rsidP="00A00A4E">
      <w:r w:rsidRPr="00AC26F8">
        <w:t>The association of</w:t>
      </w:r>
      <w:r w:rsidR="00975969" w:rsidRPr="00AC26F8">
        <w:t xml:space="preserve"> gastrointestinal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an increased population density of ectopic oral bacteria in the gut (the </w:t>
      </w:r>
      <w:r w:rsidR="00332984" w:rsidRPr="00AC26F8">
        <w:t>expansion</w:t>
      </w:r>
      <w:r w:rsidR="00975969" w:rsidRPr="00AC26F8">
        <w:t xml:space="preserve"> hypothesis) or a depleted gut </w:t>
      </w:r>
      <w:r w:rsidR="00332984" w:rsidRPr="00AC26F8">
        <w:t xml:space="preserve">commensal </w:t>
      </w:r>
      <w:r w:rsidR="00975969" w:rsidRPr="00AC26F8">
        <w:t xml:space="preserve">bacterial </w:t>
      </w:r>
      <w:r w:rsidR="00C47BAB" w:rsidRPr="00AC26F8">
        <w:t>load</w:t>
      </w:r>
      <w:r w:rsidR="00975969" w:rsidRPr="00AC26F8">
        <w:t xml:space="preserve"> (the marker hypothesis). </w:t>
      </w:r>
      <w:r w:rsidR="00332984" w:rsidRPr="00AC26F8">
        <w:t>Through mouse experiments and human microbiome data analysis, we</w:t>
      </w:r>
      <w:r w:rsidR="00975969" w:rsidRPr="00AC26F8">
        <w:t xml:space="preserve"> </w:t>
      </w:r>
      <w:r w:rsidR="00C41A50" w:rsidRPr="00AC26F8">
        <w:t>found</w:t>
      </w:r>
      <w:r w:rsidR="00332984" w:rsidRPr="00AC26F8">
        <w:t xml:space="preserve"> that the quantitative abundance of oral-typical bacteria in the </w:t>
      </w:r>
      <w:r w:rsidR="00C47BAB" w:rsidRPr="00AC26F8">
        <w:t xml:space="preserve">intestine </w:t>
      </w:r>
      <w:r w:rsidR="00D6539E" w:rsidRPr="00AC26F8">
        <w:t>remains stable as opposed to the marked reduction in</w:t>
      </w:r>
      <w:r w:rsidR="00C47BAB" w:rsidRPr="00AC26F8">
        <w:t xml:space="preserve"> the</w:t>
      </w:r>
      <w:r w:rsidR="00D6539E" w:rsidRPr="00AC26F8">
        <w:t xml:space="preserve"> gut bacterial </w:t>
      </w:r>
      <w:r w:rsidR="00C47BAB" w:rsidRPr="00AC26F8">
        <w:t>load</w:t>
      </w:r>
      <w:r w:rsidR="00D6539E" w:rsidRPr="00AC26F8">
        <w:t xml:space="preserve"> following antibiotic treatment</w:t>
      </w:r>
      <w:r w:rsidR="00EF094A" w:rsidRPr="00AC26F8">
        <w:t xml:space="preserve">, thus supporting the marker hypothesis. </w:t>
      </w:r>
      <w:r w:rsidR="00A869E4" w:rsidRPr="00AC26F8">
        <w:t>Our mathematical</w:t>
      </w:r>
      <w:r w:rsidR="00C47BAB" w:rsidRPr="00AC26F8">
        <w:t xml:space="preserve"> model </w:t>
      </w:r>
      <w:r w:rsidR="00A869E4" w:rsidRPr="00AC26F8">
        <w:t xml:space="preserve">indicates that the stable oral bacterial population is maintained by a balance </w:t>
      </w:r>
      <w:r w:rsidR="00543DD3" w:rsidRPr="00AC26F8">
        <w:t xml:space="preserve">between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2B7851">
        <w:t>competitive</w:t>
      </w:r>
      <w:r w:rsidR="00543DD3" w:rsidRPr="00AC26F8">
        <w:t xml:space="preserve"> release due to </w:t>
      </w:r>
      <w:r w:rsidR="002B7851">
        <w:t xml:space="preserve">depleted </w:t>
      </w:r>
      <w:r w:rsidR="00543DD3" w:rsidRPr="00AC26F8">
        <w:t>gut</w:t>
      </w:r>
      <w:r w:rsidR="002B7851">
        <w:t xml:space="preserve"> </w:t>
      </w:r>
      <w:r w:rsidR="0014324A">
        <w:t>commensals.</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A00A4E">
      <w:pPr>
        <w:rPr>
          <w:b/>
          <w:bCs/>
        </w:rPr>
      </w:pPr>
    </w:p>
    <w:p w14:paraId="5CD1CBDB" w14:textId="1042E1D7" w:rsidR="00CA4C0E" w:rsidRPr="00AC26F8" w:rsidRDefault="00C75BC4" w:rsidP="00A00A4E">
      <w:pPr>
        <w:rPr>
          <w:b/>
          <w:bCs/>
        </w:rPr>
      </w:pPr>
      <w:r w:rsidRPr="00AC26F8">
        <w:rPr>
          <w:b/>
          <w:bCs/>
        </w:rPr>
        <w:t>INTRODUCTION</w:t>
      </w:r>
    </w:p>
    <w:p w14:paraId="5894B750" w14:textId="572D8674" w:rsidR="00993C1F" w:rsidRDefault="00B2334F" w:rsidP="00A00A4E">
      <w:r>
        <w:t xml:space="preserve">The healthy persons harbor </w:t>
      </w:r>
      <w:r w:rsidR="00351DD8">
        <w:t>distinct</w:t>
      </w:r>
      <w:r>
        <w:t xml:space="preserve"> microbiome communities at different body sites</w:t>
      </w:r>
      <w:r w:rsidR="00C82437">
        <w:t xml:space="preserve">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t xml:space="preserve">. </w:t>
      </w:r>
      <w:r w:rsidR="0015189C" w:rsidRPr="00AC26F8">
        <w:t xml:space="preserve">The </w:t>
      </w:r>
      <w:r>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oral-resident bacteria</w:t>
      </w:r>
      <w:r w:rsidR="009E124B">
        <w:t xml:space="preserve">l cells </w:t>
      </w:r>
      <w:r w:rsidR="00B87152">
        <w:t>are transported to</w:t>
      </w:r>
      <w:r w:rsidR="009E124B">
        <w:t xml:space="preserve"> stomach </w:t>
      </w:r>
      <w:r w:rsidR="009E124B">
        <w:lastRenderedPageBreak/>
        <w:t>via</w:t>
      </w:r>
      <w:r w:rsidR="0015189C" w:rsidRPr="00AC26F8">
        <w:t xml:space="preserve"> </w:t>
      </w:r>
      <w:r w:rsidR="009E124B">
        <w:t xml:space="preserve">saliva, food and 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biles </w:t>
      </w:r>
      <w:r w:rsidR="007F2FA1">
        <w:t xml:space="preserve">and antimicrobial peptides </w:t>
      </w:r>
      <w:r w:rsidR="0015189C" w:rsidRPr="00AC26F8">
        <w:t>kill many of th</w:t>
      </w:r>
      <w:r w:rsidR="007F2FA1">
        <w:t>o</w:t>
      </w:r>
      <w:r w:rsidR="0015189C" w:rsidRPr="00AC26F8">
        <w:t>se, and survivors face competition from gut-resident bacteria due to colonization resistance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oral-resident bacteria</w:t>
      </w:r>
      <w:r w:rsidR="007D4E4F">
        <w:t>l</w:t>
      </w:r>
      <w:r w:rsidR="0015189C" w:rsidRPr="00AC26F8">
        <w:t xml:space="preserve"> DNA</w:t>
      </w:r>
      <w:r w:rsidR="00E538E9">
        <w:t>s</w:t>
      </w:r>
      <w:r w:rsidR="0015189C" w:rsidRPr="00AC26F8">
        <w:t xml:space="preserve"> in the 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30B31DBF" w14:textId="074649B4" w:rsidR="00912F9D" w:rsidRDefault="00EA6A2A" w:rsidP="00276A11">
      <w:pPr>
        <w:ind w:firstLine="720"/>
      </w:pPr>
      <w:r>
        <w:t>Broad spectrum antibiotics</w:t>
      </w:r>
      <w:r w:rsidR="00F839BD">
        <w:t xml:space="preserve"> such as </w:t>
      </w:r>
      <w:r w:rsidR="000015F9">
        <w:t>ampicillin</w:t>
      </w:r>
      <w:r w:rsidR="00F839BD">
        <w:t xml:space="preserve"> </w:t>
      </w:r>
      <w:r w:rsidR="009A1E72">
        <w:t xml:space="preserve">can </w:t>
      </w:r>
      <w:r w:rsidR="00A56380">
        <w:t>weaken</w:t>
      </w:r>
      <w:r w:rsidR="00F839BD">
        <w:t xml:space="preserve"> the oral-gut </w:t>
      </w:r>
      <w:r w:rsidR="00584AC4">
        <w:t>barrier</w:t>
      </w:r>
      <w:r w:rsidR="00003414">
        <w:t xml:space="preserve"> </w:t>
      </w:r>
      <w:r>
        <w:t xml:space="preserve">by depleting gut anaerobes </w:t>
      </w:r>
      <w:r w:rsidR="00003414">
        <w:t>a</w:t>
      </w:r>
      <w:r w:rsidR="00F839BD">
        <w:t>nd</w:t>
      </w:r>
      <w:r w:rsidR="00A56380">
        <w:t xml:space="preserve"> </w:t>
      </w:r>
      <w:r w:rsidR="00B9137D">
        <w:t>promote colonization of translocated oral bacteria</w:t>
      </w:r>
      <w:r w:rsidR="0057487F">
        <w:t xml:space="preserve"> </w:t>
      </w:r>
      <w:r w:rsidR="0057487F">
        <w:fldChar w:fldCharType="begin"/>
      </w:r>
      <w:r w:rsidR="002D75C3">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7487F">
        <w:fldChar w:fldCharType="separate"/>
      </w:r>
      <w:r w:rsidR="002D75C3">
        <w:rPr>
          <w:noProof/>
        </w:rPr>
        <w:t>(Atarashi et al., 2017)</w:t>
      </w:r>
      <w:r w:rsidR="0057487F">
        <w:fldChar w:fldCharType="end"/>
      </w:r>
      <w:r w:rsidR="00F839BD">
        <w:t xml:space="preserve">. </w:t>
      </w:r>
      <w:r w:rsidR="00976908">
        <w:t xml:space="preserve">Other </w:t>
      </w:r>
      <w:r w:rsidR="0057344D">
        <w:t xml:space="preserve">than </w:t>
      </w:r>
      <w:r>
        <w:t>antibiotic</w:t>
      </w:r>
      <w:r w:rsidR="0057344D">
        <w:t xml:space="preserve">s, diets, aging, and gut inflammation may also disrupt gut colonization resistance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344D">
        <w:t>.</w:t>
      </w:r>
      <w:r w:rsidR="00976908">
        <w:t xml:space="preserve"> All these factors </w:t>
      </w:r>
      <w:r>
        <w:t xml:space="preserve">jointly </w:t>
      </w:r>
      <w:r w:rsidR="00C973E3">
        <w:t xml:space="preserve">contribute to the </w:t>
      </w:r>
      <w:r w:rsidR="00A64A45">
        <w:t xml:space="preserve">clinical </w:t>
      </w:r>
      <w:r w:rsidR="00C973E3">
        <w:t xml:space="preserve">associations between ectopic colonization of oral pathobionts and </w:t>
      </w:r>
      <w:r w:rsidR="00734349">
        <w:t xml:space="preserve">a variety of </w:t>
      </w:r>
      <w:r w:rsidR="00C973E3">
        <w:t xml:space="preserve">digestive diseases (e.g., </w:t>
      </w:r>
      <w:r w:rsidR="00ED36B0">
        <w:t xml:space="preserve">Crohn’s disease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xml:space="preserve">, ulcerative colitis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2D75C3">
        <w:instrText xml:space="preserve"> ADDIN EN.CITE &lt;EndNote&gt;&lt;Cite&gt;&lt;Author&gt;Kostic&lt;/Author&gt;&lt;Year&gt;2013&lt;/Year&gt;&lt;RecNum&gt;25&lt;/RecNum&gt;&lt;DisplayText&gt;(Kostic et al., 2013)&lt;/DisplayText&gt;&lt;record&gt;&lt;rec-number&gt;25&lt;/rec-number&gt;&lt;foreign-keys&gt;&lt;key app="EN" db-id="eeaavdvxvv5azseddsrxz2d0vpf5v0xr9ea5" timestamp="1659497895"&gt;25&lt;/key&gt;&lt;/foreign-keys&gt;&lt;ref-type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A64A45">
        <w:t xml:space="preserve">were based on </w:t>
      </w:r>
      <w:r w:rsidR="00800282">
        <w:t>relative microbiome profiling</w:t>
      </w:r>
      <w:r w:rsidR="004D1E7A">
        <w:t xml:space="preserve"> and thus inconclusive </w:t>
      </w:r>
      <w:r w:rsidR="005E1470">
        <w:t xml:space="preserve">regarding </w:t>
      </w:r>
      <w:r w:rsidR="004D1E7A">
        <w:t xml:space="preserve">whether the relative enrichment </w:t>
      </w:r>
      <w:r w:rsidR="005E1470">
        <w:t xml:space="preserve">of oral-typical bacteria reflects </w:t>
      </w:r>
      <w:r w:rsidR="00C5441D">
        <w:t xml:space="preserve">their </w:t>
      </w:r>
      <w:r w:rsidR="005E1470">
        <w:t xml:space="preserve">active expansion and bloom in the gut. </w:t>
      </w:r>
      <w:r w:rsidR="00E24A35">
        <w:t>Th</w:t>
      </w:r>
      <w:r w:rsidR="00A376E3">
        <w:t xml:space="preserve">e </w:t>
      </w:r>
      <w:r w:rsidR="00C42FFA">
        <w:t xml:space="preserve">technical limitation has hampered </w:t>
      </w:r>
      <w:r w:rsidR="000340D5">
        <w:t xml:space="preserve">our </w:t>
      </w:r>
      <w:r w:rsidR="00616263">
        <w:t>ability</w:t>
      </w:r>
      <w:r w:rsidR="000340D5">
        <w:t xml:space="preserve"> to associate quantitative microbiome features with disease and led to </w:t>
      </w:r>
      <w:r w:rsidR="00F507F3">
        <w:t>artificial</w:t>
      </w:r>
      <w:r w:rsidR="000340D5">
        <w:t xml:space="preserve"> interpretations</w:t>
      </w:r>
      <w:r w:rsidR="00F507F3">
        <w:t xml:space="preserve"> from relative microbiome analyses</w:t>
      </w:r>
      <w:r w:rsidR="000340D5">
        <w:t xml:space="preserve"> (e.g., trade</w:t>
      </w:r>
      <w:r w:rsidR="00E83F44">
        <w:t>-</w:t>
      </w:r>
      <w:r w:rsidR="000340D5">
        <w:t xml:space="preserve">off between </w:t>
      </w:r>
      <w:r w:rsidR="00E83F44" w:rsidRPr="00E83F44">
        <w:rPr>
          <w:i/>
          <w:iCs/>
        </w:rPr>
        <w:t>Bacteroides</w:t>
      </w:r>
      <w:r w:rsidR="000340D5">
        <w:t xml:space="preserve"> and </w:t>
      </w:r>
      <w:r w:rsidR="000340D5" w:rsidRPr="00E83F44">
        <w:rPr>
          <w:i/>
          <w:iCs/>
        </w:rPr>
        <w:t>Prevotella</w:t>
      </w:r>
      <w:r w:rsidR="000340D5">
        <w:t>)</w:t>
      </w:r>
      <w:r w:rsidR="00C42FFA">
        <w:t xml:space="preserve"> </w:t>
      </w:r>
      <w:r w:rsidR="00FB5CC9">
        <w:fldChar w:fldCharType="begin"/>
      </w:r>
      <w:r w:rsidR="002D75C3">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FB5CC9">
        <w:fldChar w:fldCharType="separate"/>
      </w:r>
      <w:r w:rsidR="002D75C3">
        <w:rPr>
          <w:noProof/>
        </w:rPr>
        <w:t>(Vandeputte et al., 2017)</w:t>
      </w:r>
      <w:r w:rsidR="00FB5CC9">
        <w:fldChar w:fldCharType="end"/>
      </w:r>
      <w:r w:rsidR="00E24A35">
        <w:t>.</w:t>
      </w:r>
    </w:p>
    <w:p w14:paraId="1D545D0F" w14:textId="7CA5EC83" w:rsidR="0015189C" w:rsidRDefault="00681FC6" w:rsidP="00A00A4E">
      <w:pPr>
        <w:ind w:firstLine="720"/>
      </w:pPr>
      <w:proofErr w:type="gramStart"/>
      <w:r>
        <w:t>By definition,</w:t>
      </w:r>
      <w:r w:rsidR="00D57210">
        <w:t xml:space="preserve"> </w:t>
      </w:r>
      <w:r>
        <w:t>t</w:t>
      </w:r>
      <w:r w:rsidR="00F839BD">
        <w:t>he</w:t>
      </w:r>
      <w:proofErr w:type="gramEnd"/>
      <w:r w:rsidR="00F839BD">
        <w:t xml:space="preserve"> relative enrichment</w:t>
      </w:r>
      <w:r>
        <w:t xml:space="preserve"> of oral bacteria </w:t>
      </w:r>
      <w:r w:rsidR="008E142B">
        <w:t xml:space="preserve">following perturbations </w:t>
      </w:r>
      <w:r w:rsidR="00F839BD">
        <w:t>can be explained by two alternative hypotheses (</w:t>
      </w:r>
      <w:r w:rsidR="00F839BD" w:rsidRPr="00550D33">
        <w:rPr>
          <w:highlight w:val="yellow"/>
        </w:rPr>
        <w:t>Fig. 1</w:t>
      </w:r>
      <w:r w:rsidR="00F839BD">
        <w:t>)</w:t>
      </w:r>
      <w:r>
        <w:t xml:space="preserve">. </w:t>
      </w:r>
      <w:r w:rsidR="005F26A7">
        <w:t xml:space="preserve">The expansion hypothesis </w:t>
      </w:r>
      <w:r w:rsidR="006D2A60">
        <w:t>proposes</w:t>
      </w:r>
      <w:r w:rsidR="005F26A7">
        <w:t xml:space="preserve"> that</w:t>
      </w:r>
      <w:r w:rsidR="006D2A60">
        <w:t xml:space="preserve"> the </w:t>
      </w:r>
      <w:r w:rsidR="005F26A7">
        <w:t xml:space="preserve">active expansion of </w:t>
      </w:r>
      <w:r w:rsidR="008A26E0">
        <w:t>translocated oral</w:t>
      </w:r>
      <w:r w:rsidR="005F26A7">
        <w:t xml:space="preserve"> bacteria</w:t>
      </w:r>
      <w:r w:rsidR="00550D33">
        <w:t xml:space="preserve"> in the gut</w:t>
      </w:r>
      <w:r w:rsidR="006D2A60">
        <w:t xml:space="preserve"> outweighs</w:t>
      </w:r>
      <w:r w:rsidR="008A26E0">
        <w:t xml:space="preserve"> the depletion of gut-resident bacteria in determining the relative enrichment</w:t>
      </w:r>
      <w:r w:rsidR="00550D33">
        <w:t xml:space="preserve">. By </w:t>
      </w:r>
      <w:r w:rsidR="00597021">
        <w:t>contrast</w:t>
      </w:r>
      <w:r w:rsidR="00550D33">
        <w:t xml:space="preserve">, </w:t>
      </w:r>
      <w:r w:rsidR="005F26A7">
        <w:t>the marker hypothesis states</w:t>
      </w:r>
      <w:r w:rsidR="000D6BDC">
        <w:t xml:space="preserve"> the opposite, i.e., the relative enrichment is </w:t>
      </w:r>
      <w:r w:rsidR="00D308B0">
        <w:t>an artifact</w:t>
      </w:r>
      <w:r w:rsidR="005F26A7">
        <w:t xml:space="preserve"> caused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the expansion</w:t>
      </w:r>
      <w:r w:rsidR="0015189C" w:rsidRPr="00855990">
        <w:t xml:space="preserve"> hypo</w:t>
      </w:r>
      <w:r w:rsidR="0015189C" w:rsidRPr="00AC26F8">
        <w:t xml:space="preserve">thesis indicates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the marker hypothesis</w:t>
      </w:r>
      <w:r w:rsidR="0015189C" w:rsidRPr="00AC26F8">
        <w:t xml:space="preserve"> indicates</w:t>
      </w:r>
      <w:r w:rsidR="0057088D">
        <w:t xml:space="preserve"> indirect effects of microbiome on </w:t>
      </w:r>
      <w:r w:rsidR="0015189C" w:rsidRPr="00AC26F8">
        <w:t>disease</w:t>
      </w:r>
      <w:r w:rsidR="0057088D">
        <w:t xml:space="preserve"> onset and progression</w:t>
      </w:r>
      <w:r w:rsidR="0015189C" w:rsidRPr="00AC26F8">
        <w:t xml:space="preserve"> due to the</w:t>
      </w:r>
      <w:r w:rsidR="00D308B0">
        <w:t xml:space="preserve"> loss of gut bacteria</w:t>
      </w:r>
      <w:r w:rsidR="00F507F3">
        <w:t>.</w:t>
      </w:r>
      <w:r w:rsidR="00D57210">
        <w:t xml:space="preserve"> </w:t>
      </w:r>
      <w:r w:rsidR="0057088D">
        <w:t xml:space="preserve">Though largely ignored, bacterial load is itself an important variable in microbiome-disease associations and influences </w:t>
      </w:r>
      <w:r w:rsidR="0057088D" w:rsidRPr="00AC26F8">
        <w:t>host physiology, metabolism, and immunity</w:t>
      </w:r>
      <w:r w:rsidR="0057088D">
        <w:t xml:space="preserve"> </w:t>
      </w:r>
      <w:r w:rsidR="0057088D">
        <w:fldChar w:fldCharType="begin">
          <w:fldData xml:space="preserve">PEVuZE5vdGU+PENpdGU+PEF1dGhvcj5Db250aWpvY2g8L0F1dGhvcj48WWVhcj4yMDE5PC9ZZWFy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</w:fldData>
        </w:fldChar>
      </w:r>
      <w:r w:rsidR="002D75C3">
        <w:instrText xml:space="preserve"> ADDIN EN.CITE </w:instrText>
      </w:r>
      <w:r w:rsidR="002D75C3">
        <w:fldChar w:fldCharType="begin">
          <w:fldData xml:space="preserve">PEVuZE5vdGU+PENpdGU+PEF1dGhvcj5Db250aWpvY2g8L0F1dGhvcj48WWVhcj4yMDE5PC9ZZWFy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</w:fldData>
        </w:fldChar>
      </w:r>
      <w:r w:rsidR="002D75C3">
        <w:instrText xml:space="preserve"> ADDIN EN.CITE.DATA </w:instrText>
      </w:r>
      <w:r w:rsidR="002D75C3">
        <w:fldChar w:fldCharType="end"/>
      </w:r>
      <w:r w:rsidR="0057088D">
        <w:fldChar w:fldCharType="separate"/>
      </w:r>
      <w:r w:rsidR="002D75C3">
        <w:rPr>
          <w:noProof/>
        </w:rPr>
        <w:t>(Contijoch et al., 2019; Tang et al., 2019; Zarrinpar et al., 2018)</w:t>
      </w:r>
      <w:r w:rsidR="0057088D">
        <w:fldChar w:fldCharType="end"/>
      </w:r>
      <w:r w:rsidR="0057088D">
        <w:t xml:space="preserve">. </w:t>
      </w:r>
      <w:r w:rsidR="00EF2E85">
        <w:t xml:space="preserve">In the following, we will </w:t>
      </w:r>
      <w:r w:rsidR="0074521E">
        <w:t xml:space="preserve">distinguish the two hypotheses by quantifying the load of </w:t>
      </w:r>
      <w:r w:rsidR="006D2A60">
        <w:t xml:space="preserve">oral-typical </w:t>
      </w:r>
      <w:r w:rsidR="0074521E">
        <w:t>bacteria</w:t>
      </w:r>
      <w:r w:rsidR="006D2A60">
        <w:t xml:space="preserve"> in the gut microbiome</w:t>
      </w:r>
      <w:r w:rsidR="0074521E">
        <w:t xml:space="preserve"> of mice and humans</w:t>
      </w:r>
      <w:r w:rsidR="00D247B9">
        <w:t>.</w:t>
      </w:r>
    </w:p>
    <w:p w14:paraId="59EDCAB7" w14:textId="0336461F" w:rsidR="00E51A56" w:rsidRDefault="00E51A56" w:rsidP="00E51A56"/>
    <w:p w14:paraId="542CBFD8" w14:textId="2CE81239" w:rsidR="00E51A56" w:rsidRDefault="00E51A56" w:rsidP="00E51A56">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884879" cy="2504537"/>
                    </a:xfrm>
                    <a:prstGeom prst="rect">
                      <a:avLst/>
                    </a:prstGeom>
                  </pic:spPr>
                </pic:pic>
              </a:graphicData>
            </a:graphic>
          </wp:inline>
        </w:drawing>
      </w:r>
    </w:p>
    <w:p w14:paraId="44A42125" w14:textId="3B52C58B" w:rsidR="005706CF" w:rsidRPr="00AC26F8" w:rsidRDefault="005706CF" w:rsidP="005706CF">
      <w:r w:rsidRPr="008D0311">
        <w:rPr>
          <w:b/>
          <w:bCs/>
        </w:rPr>
        <w:lastRenderedPageBreak/>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density of oral-typical bacteria colonizing the </w:t>
      </w:r>
      <w:r w:rsidR="00244331">
        <w:t xml:space="preserve">human </w:t>
      </w:r>
      <w:r w:rsidRPr="005706CF">
        <w:t xml:space="preserve">intestine is synergistically determined by a basal </w:t>
      </w:r>
      <w:r w:rsidR="005911C1">
        <w:t xml:space="preserve">transmission </w:t>
      </w:r>
      <w:r w:rsidRPr="005706CF">
        <w:t>influx from the oral cavity, biomass loss due to natural death and fecal excretion, and ecological interactions between bacteria of oral and gut origins. Perturbations such as antibiotics may substantially increase the relative abundance of oral</w:t>
      </w:r>
      <w:r w:rsidR="00946957">
        <w:t>-typical</w:t>
      </w:r>
      <w:r w:rsidRPr="005706CF">
        <w:t xml:space="preserve"> bacteria in </w:t>
      </w:r>
      <w:r w:rsidR="00946957">
        <w:t>the</w:t>
      </w:r>
      <w:r w:rsidR="008E7BC0">
        <w:t xml:space="preserve"> human</w:t>
      </w:r>
      <w:r w:rsidRPr="005706CF">
        <w:t xml:space="preserve"> gut</w:t>
      </w:r>
      <w:r w:rsidR="008E7BC0">
        <w:t xml:space="preserve"> (fecal) microbiome </w:t>
      </w:r>
      <w:r w:rsidRPr="005706CF">
        <w:t xml:space="preserve">by two alternative mechanisms. The expansion hypothesis </w:t>
      </w:r>
      <w:r w:rsidR="001E1194">
        <w:t xml:space="preserve">proposes that the relative enrichment </w:t>
      </w:r>
      <w:r w:rsidR="00B26D4C">
        <w:t xml:space="preserve">measures </w:t>
      </w:r>
      <w:r w:rsidR="001E1194">
        <w:t xml:space="preserve">its absolute abundance (i.e., </w:t>
      </w:r>
      <w:r w:rsidR="00946957">
        <w:t>active expansion of the oral populations</w:t>
      </w:r>
      <w:r w:rsidR="001E1194">
        <w:t>), while the</w:t>
      </w:r>
      <w:r w:rsidRPr="005706CF">
        <w:t xml:space="preserve"> marker hypothesis </w:t>
      </w:r>
      <w:r w:rsidR="0072331C">
        <w:t xml:space="preserve">views it as </w:t>
      </w:r>
      <w:r w:rsidR="00E1666C">
        <w:t xml:space="preserve">an artifact </w:t>
      </w:r>
      <w:r w:rsidR="006403D3">
        <w:t>caused by</w:t>
      </w:r>
      <w:r w:rsidRPr="005706CF">
        <w:t xml:space="preserve"> reduction in the gut bacterial density.</w:t>
      </w:r>
    </w:p>
    <w:p w14:paraId="1EEA027B" w14:textId="265682BC" w:rsidR="008E0419" w:rsidRPr="00AC26F8" w:rsidRDefault="008E0419" w:rsidP="00A00A4E">
      <w:pPr>
        <w:rPr>
          <w:b/>
        </w:rPr>
      </w:pPr>
    </w:p>
    <w:p w14:paraId="5FE23040" w14:textId="08C76229" w:rsidR="00D93833" w:rsidRPr="00AC26F8" w:rsidRDefault="00D93833" w:rsidP="00A00A4E">
      <w:pPr>
        <w:rPr>
          <w:b/>
        </w:rPr>
      </w:pPr>
      <w:r w:rsidRPr="00AC26F8">
        <w:rPr>
          <w:b/>
        </w:rPr>
        <w:t>RESULTS</w:t>
      </w:r>
    </w:p>
    <w:p w14:paraId="640D7704" w14:textId="090E2814" w:rsidR="00D93833" w:rsidRPr="00AC26F8" w:rsidRDefault="00D93833" w:rsidP="00A00A4E">
      <w:pPr>
        <w:rPr>
          <w:b/>
        </w:rPr>
      </w:pPr>
    </w:p>
    <w:p w14:paraId="0C5D1AB6" w14:textId="5425E829" w:rsidR="001D26BB" w:rsidRDefault="001D26BB" w:rsidP="00A00A4E">
      <w:pPr>
        <w:rPr>
          <w:b/>
        </w:rPr>
      </w:pPr>
      <w:r>
        <w:rPr>
          <w:b/>
        </w:rPr>
        <w:t>Antibiotic-treated m</w:t>
      </w:r>
      <w:r w:rsidR="00BC4756">
        <w:rPr>
          <w:b/>
        </w:rPr>
        <w:t>ouse gut microbiome</w:t>
      </w:r>
      <w:r>
        <w:rPr>
          <w:b/>
        </w:rPr>
        <w:t xml:space="preserve"> support</w:t>
      </w:r>
      <w:r w:rsidR="004D4CFF">
        <w:rPr>
          <w:b/>
        </w:rPr>
        <w:t>s</w:t>
      </w:r>
      <w:r>
        <w:rPr>
          <w:b/>
        </w:rPr>
        <w:t xml:space="preserve"> the marker hypothesis</w:t>
      </w:r>
    </w:p>
    <w:p w14:paraId="024B186C" w14:textId="76554D9D" w:rsidR="005A1354" w:rsidRDefault="00066891" w:rsidP="004D4CFF">
      <w:r>
        <w:t>D</w:t>
      </w:r>
      <w:r w:rsidR="00606837">
        <w:t>etection</w:t>
      </w:r>
      <w:r w:rsidR="006168CE">
        <w:t xml:space="preserve"> of </w:t>
      </w:r>
      <w:r w:rsidR="00606837">
        <w:t xml:space="preserve">bacterial translocation events </w:t>
      </w:r>
      <w:r w:rsidR="00292A32">
        <w:t>requires</w:t>
      </w:r>
      <w:r w:rsidR="00606837">
        <w:t xml:space="preserve"> identification of </w:t>
      </w:r>
      <w:r>
        <w:t>sequence</w:t>
      </w:r>
      <w:r w:rsidR="00606837">
        <w:t xml:space="preserve">-level </w:t>
      </w:r>
      <w:r w:rsidR="00823970">
        <w:t xml:space="preserve">features (e.g., </w:t>
      </w:r>
      <w:r>
        <w:t xml:space="preserve">marker genes, </w:t>
      </w:r>
      <w:r w:rsidR="00823970">
        <w:t>single nucleotide polymorphisms)</w:t>
      </w:r>
      <w:r w:rsidR="00D201EB">
        <w:t xml:space="preserve"> in samples collected from multiple body sites</w:t>
      </w:r>
      <w:r w:rsidR="00292A32">
        <w:t xml:space="preserve"> </w:t>
      </w:r>
      <w:r w:rsidR="00553C66">
        <w:t xml:space="preserve">of a host </w:t>
      </w:r>
      <w:r w:rsidR="00292A32">
        <w:fldChar w:fldCharType="begin"/>
      </w:r>
      <w:r w:rsidR="002D75C3">
        <w:instrText xml:space="preserve"> ADDIN EN.CITE &lt;EndNote&gt;&lt;Cite&gt;&lt;Author&gt;Schmidt&lt;/Author&gt;&lt;Year&gt;2019&lt;/Year&gt;&lt;RecNum&gt;10&lt;/RecNum&gt;&lt;DisplayText&gt;(Coker et al., 2018;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Coker&lt;/Author&gt;&lt;Year&gt;2018&lt;/Year&gt;&lt;RecNum&gt;33&lt;/RecNum&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EndNote&gt;</w:instrText>
      </w:r>
      <w:r w:rsidR="00292A32">
        <w:fldChar w:fldCharType="separate"/>
      </w:r>
      <w:r w:rsidR="002D75C3">
        <w:rPr>
          <w:noProof/>
        </w:rPr>
        <w:t>(Coker et al., 2018; Schmidt</w:t>
      </w:r>
      <w:r w:rsidR="002D75C3" w:rsidRPr="002D75C3">
        <w:rPr>
          <w:i/>
          <w:noProof/>
        </w:rPr>
        <w:t xml:space="preserve"> et al.</w:t>
      </w:r>
      <w:r w:rsidR="002D75C3">
        <w:rPr>
          <w:noProof/>
        </w:rPr>
        <w:t>, 2019)</w:t>
      </w:r>
      <w:r w:rsidR="00292A32">
        <w:fldChar w:fldCharType="end"/>
      </w:r>
      <w:r w:rsidR="00292A32">
        <w:t>. However,</w:t>
      </w:r>
      <w:r w:rsidR="004D4CFF">
        <w:t xml:space="preserve"> </w:t>
      </w:r>
      <w:r w:rsidR="005A1354">
        <w:t>paired oral</w:t>
      </w:r>
      <w:r w:rsidR="00740D41">
        <w:t xml:space="preserve"> and </w:t>
      </w:r>
      <w:r w:rsidR="005A1354">
        <w:t>gut</w:t>
      </w:r>
      <w:r w:rsidR="00740D41">
        <w:t xml:space="preserve"> </w:t>
      </w:r>
      <w:r w:rsidR="005A1354">
        <w:t>samples in mice are extremely rare</w:t>
      </w:r>
      <w:r w:rsidR="00BA7802">
        <w:t xml:space="preserve"> in the literature</w:t>
      </w:r>
      <w:r w:rsidR="005A1354">
        <w:t xml:space="preserve"> </w:t>
      </w:r>
      <w:r w:rsidR="005A1354">
        <w:fldChar w:fldCharType="begin"/>
      </w:r>
      <w:r w:rsidR="002D75C3">
        <w:instrText xml:space="preserve"> ADDIN EN.CITE &lt;EndNote&gt;&lt;Cite&gt;&lt;Author&gt;Greenberg&lt;/Author&gt;&lt;Year&gt;2022&lt;/Year&gt;&lt;RecNum&gt;31&lt;/RecNum&gt;&lt;DisplayText&gt;(Greenberg et al., 2022)&lt;/DisplayText&gt;&lt;record&gt;&lt;rec-number&gt;31&lt;/rec-number&gt;&lt;foreign-keys&gt;&lt;key app="EN" db-id="eeaavdvxvv5azseddsrxz2d0vpf5v0xr9ea5" timestamp="1659530489"&gt;31&lt;/key&gt;&lt;/foreign-keys&gt;&lt;ref-type name="Journal Article"&gt;17&lt;/ref-type&gt;&lt;contributors&gt;&lt;authors&gt;&lt;author&gt;Greenberg, Jonathan M&lt;/author&gt;&lt;author&gt;Romero, Roberto&lt;/author&gt;&lt;author&gt;Winters, Andrew D&lt;/author&gt;&lt;author&gt;Galaz, Jose&lt;/author&gt;&lt;author&gt;Garcia-Flores, Valeria&lt;/author&gt;&lt;author&gt;Arenas-Hernandez, Marcia&lt;/author&gt;&lt;author&gt;Panzer, Jonathan&lt;/author&gt;&lt;author&gt;Shaffer, Zachary&lt;/author&gt;&lt;author&gt;Kracht, David J&lt;/author&gt;&lt;author&gt;Gomez-Lopez, Nardhy&lt;/author&gt;&lt;/authors&gt;&lt;/contributors&gt;&lt;titles&gt;&lt;title&gt;Microbiota of the pregnant mouse: characterization of the bacterial communities in the oral cavity, lung, intestine, and vagina through culture and DNA sequencing&lt;/title&gt;&lt;secondary-title&gt;bioRxiv&lt;/secondary-title&gt;&lt;/titles&gt;&lt;periodical&gt;&lt;full-title&gt;bioRxiv&lt;/full-title&gt;&lt;/periodical&gt;&lt;dates&gt;&lt;year&gt;2022&lt;/year&gt;&lt;/dates&gt;&lt;urls&gt;&lt;/urls&gt;&lt;/record&gt;&lt;/Cite&gt;&lt;/EndNote&gt;</w:instrText>
      </w:r>
      <w:r w:rsidR="005A1354">
        <w:fldChar w:fldCharType="separate"/>
      </w:r>
      <w:r w:rsidR="002D75C3">
        <w:rPr>
          <w:noProof/>
        </w:rPr>
        <w:t>(Greenberg et al., 2022)</w:t>
      </w:r>
      <w:r w:rsidR="005A1354">
        <w:fldChar w:fldCharType="end"/>
      </w:r>
      <w:r w:rsidR="005A1354">
        <w:t xml:space="preserve">. </w:t>
      </w:r>
      <w:r w:rsidR="004D4CFF">
        <w:t xml:space="preserve">To </w:t>
      </w:r>
      <w:r w:rsidR="00553C66">
        <w:t xml:space="preserve">detect translocation </w:t>
      </w:r>
      <w:r w:rsidR="00A173D0">
        <w:t>from gut microbiome alone</w:t>
      </w:r>
      <w:r w:rsidR="00553C66">
        <w:t xml:space="preserve">, </w:t>
      </w:r>
      <w:r w:rsidR="00A173D0">
        <w:t xml:space="preserve">we </w:t>
      </w:r>
      <w:r w:rsidR="00C248C3">
        <w:t>compiled</w:t>
      </w:r>
      <w:r w:rsidR="004D4CFF">
        <w:t xml:space="preserve"> a </w:t>
      </w:r>
      <w:r w:rsidR="00A82EB8">
        <w:t>reference</w:t>
      </w:r>
      <w:r w:rsidR="00E00D67">
        <w:t xml:space="preserve"> </w:t>
      </w:r>
      <w:r w:rsidR="009C659B">
        <w:t>collection</w:t>
      </w:r>
      <w:r w:rsidR="00054FF6">
        <w:t xml:space="preserve"> of </w:t>
      </w:r>
      <w:r w:rsidR="007768B8">
        <w:t>marker gene</w:t>
      </w:r>
      <w:r w:rsidR="00054FF6">
        <w:t xml:space="preserve">s </w:t>
      </w:r>
      <w:r w:rsidR="00A82EB8">
        <w:t>that represent bacteria typically inhabiting mouse oral cavity</w:t>
      </w:r>
      <w:r w:rsidR="00B831F1">
        <w:t>.</w:t>
      </w:r>
      <w:r w:rsidR="008B3B9A">
        <w:t xml:space="preserve"> </w:t>
      </w:r>
      <w:r w:rsidR="00A21144">
        <w:t>The</w:t>
      </w:r>
      <w:r w:rsidR="005A1354">
        <w:t xml:space="preserve"> 16S rRNA sequences in the Mouse Oral Microbiome Database (MOMD) </w:t>
      </w:r>
      <w:r w:rsidR="005A1354">
        <w:fldChar w:fldCharType="begin"/>
      </w:r>
      <w:r w:rsidR="002D75C3">
        <w:instrText xml:space="preserve"> ADDIN EN.CITE &lt;EndNote&gt;&lt;Cite&gt;&lt;Author&gt;Joseph&lt;/Author&gt;&lt;Year&gt;2021&lt;/Year&gt;&lt;RecNum&gt;32&lt;/RecNum&gt;&lt;DisplayText&gt;(Joseph et al., 2021)&lt;/DisplayText&gt;&lt;record&gt;&lt;rec-number&gt;32&lt;/rec-number&gt;&lt;foreign-keys&gt;&lt;key app="EN" db-id="eeaavdvxvv5azseddsrxz2d0vpf5v0xr9ea5" timestamp="1659534249"&gt;32&lt;/key&gt;&lt;/foreign-keys&gt;&lt;ref-type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5A1354">
        <w:fldChar w:fldCharType="separate"/>
      </w:r>
      <w:r w:rsidR="002D75C3">
        <w:rPr>
          <w:noProof/>
        </w:rPr>
        <w:t>(Joseph et al., 2021)</w:t>
      </w:r>
      <w:r w:rsidR="005A1354">
        <w:fldChar w:fldCharType="end"/>
      </w:r>
      <w:r w:rsidR="005A1354">
        <w:t xml:space="preserve"> </w:t>
      </w:r>
      <w:r w:rsidR="00A21144">
        <w:t xml:space="preserve">were used </w:t>
      </w:r>
      <w:r w:rsidR="005A1354">
        <w:t>as the starting point for gathering oral-typical sequences (</w:t>
      </w:r>
      <w:r w:rsidR="005A1354" w:rsidRPr="00F72DCD">
        <w:rPr>
          <w:highlight w:val="yellow"/>
        </w:rPr>
        <w:t>Fig. S1</w:t>
      </w:r>
      <w:r w:rsidR="005A1354">
        <w:rPr>
          <w:highlight w:val="yellow"/>
        </w:rPr>
        <w:t>A</w:t>
      </w:r>
      <w:r w:rsidR="005A1354">
        <w:t>)</w:t>
      </w:r>
      <w:r w:rsidR="005A1354">
        <w:rPr>
          <w:rFonts w:hint="eastAsia"/>
        </w:rPr>
        <w:t>.</w:t>
      </w:r>
      <w:r w:rsidR="005A1354">
        <w:t xml:space="preserve"> We filtered MOMD by removing gut-colonizing sequences closely matching to those in two </w:t>
      </w:r>
      <w:r w:rsidR="001E60E3">
        <w:t xml:space="preserve">large-scale </w:t>
      </w:r>
      <w:r w:rsidR="005A1354">
        <w:t xml:space="preserve">mouse gut bacterial collections </w:t>
      </w:r>
      <w:r w:rsidR="005A1354">
        <w:fldChar w:fldCharType="begin">
          <w:fldData xml:space="preserve">PEVuZE5vdGU+PENpdGU+PEF1dGhvcj5MaXU8L0F1dGhvcj48WWVhcj4yMDIwPC9ZZWFyPjxSZWNO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</w:fldData>
        </w:fldChar>
      </w:r>
      <w:r w:rsidR="002D75C3">
        <w:instrText xml:space="preserve"> ADDIN EN.CITE </w:instrText>
      </w:r>
      <w:r w:rsidR="002D75C3">
        <w:fldChar w:fldCharType="begin">
          <w:fldData xml:space="preserve">PEVuZE5vdGU+PENpdGU+PEF1dGhvcj5MaXU8L0F1dGhvcj48WWVhcj4yMDIwPC9ZZWFyPjxSZWNO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</w:fldData>
        </w:fldChar>
      </w:r>
      <w:r w:rsidR="002D75C3">
        <w:instrText xml:space="preserve"> ADDIN EN.CITE.DATA </w:instrText>
      </w:r>
      <w:r w:rsidR="002D75C3">
        <w:fldChar w:fldCharType="end"/>
      </w:r>
      <w:r w:rsidR="005A1354">
        <w:fldChar w:fldCharType="separate"/>
      </w:r>
      <w:r w:rsidR="002D75C3">
        <w:rPr>
          <w:noProof/>
        </w:rPr>
        <w:t>(Lagkouvardos et al., 2016; Liu et al., 2020)</w:t>
      </w:r>
      <w:r w:rsidR="005A1354">
        <w:fldChar w:fldCharType="end"/>
      </w:r>
      <w:r w:rsidR="005A1354">
        <w:t xml:space="preserve"> and added oral-typical sequences absent in the MOMD from a small but rare set (n=11) of paired oral-gut samples from pregnant mice </w:t>
      </w:r>
      <w:r w:rsidR="005A1354">
        <w:fldChar w:fldCharType="begin"/>
      </w:r>
      <w:r w:rsidR="002D75C3">
        <w:instrText xml:space="preserve"> ADDIN EN.CITE &lt;EndNote&gt;&lt;Cite&gt;&lt;Author&gt;Theis&lt;/Author&gt;&lt;Year&gt;2020&lt;/Year&gt;&lt;RecNum&gt;30&lt;/RecNum&gt;&lt;DisplayText&gt;(Theis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5A1354">
        <w:fldChar w:fldCharType="separate"/>
      </w:r>
      <w:r w:rsidR="002D75C3">
        <w:rPr>
          <w:noProof/>
        </w:rPr>
        <w:t>(Theis et al., 2020)</w:t>
      </w:r>
      <w:r w:rsidR="005A1354">
        <w:fldChar w:fldCharType="end"/>
      </w:r>
      <w:r w:rsidR="005A1354">
        <w:t xml:space="preserve">; </w:t>
      </w:r>
      <w:r w:rsidR="005A1354" w:rsidRPr="005E674B">
        <w:rPr>
          <w:highlight w:val="yellow"/>
        </w:rPr>
        <w:t>see STAR Methods</w:t>
      </w:r>
      <w:r w:rsidR="005A1354">
        <w:t xml:space="preserve">. The resulted </w:t>
      </w:r>
      <w:r w:rsidR="004A5306">
        <w:t>collection</w:t>
      </w:r>
      <w:r w:rsidR="005A1354">
        <w:t xml:space="preserve"> has 149 </w:t>
      </w:r>
      <w:r w:rsidR="00B4488B">
        <w:t xml:space="preserve">full length 16S rRNA </w:t>
      </w:r>
      <w:r w:rsidR="005A1354">
        <w:t>sequences (</w:t>
      </w:r>
      <w:r w:rsidR="005A1354" w:rsidRPr="00716AC3">
        <w:rPr>
          <w:highlight w:val="yellow"/>
        </w:rPr>
        <w:t>Table S1</w:t>
      </w:r>
      <w:r w:rsidR="005A1354">
        <w:t>) from diverse genera</w:t>
      </w:r>
      <w:r w:rsidR="004B22B7">
        <w:t xml:space="preserve"> </w:t>
      </w:r>
      <w:r w:rsidR="005A1354">
        <w:t>(</w:t>
      </w:r>
      <w:r w:rsidR="005A1354" w:rsidRPr="00E910FE">
        <w:rPr>
          <w:highlight w:val="yellow"/>
        </w:rPr>
        <w:t>Fig. S</w:t>
      </w:r>
      <w:r w:rsidR="005A1354" w:rsidRPr="00DC00E2">
        <w:rPr>
          <w:highlight w:val="yellow"/>
        </w:rPr>
        <w:t>1B</w:t>
      </w:r>
      <w:r w:rsidR="005A1354">
        <w:t>).</w:t>
      </w:r>
      <w:r w:rsidR="00A86BF7">
        <w:t xml:space="preserve"> Given the collection, we can classify</w:t>
      </w:r>
      <w:r w:rsidR="004F3530">
        <w:t xml:space="preserve"> </w:t>
      </w:r>
      <w:r w:rsidR="00A86BF7">
        <w:t>whether an</w:t>
      </w:r>
      <w:r w:rsidR="004A5306">
        <w:t xml:space="preserve"> </w:t>
      </w:r>
      <w:r w:rsidR="00C1607A">
        <w:t>amplicon sequence variant</w:t>
      </w:r>
      <w:r w:rsidR="004A5306">
        <w:t xml:space="preserve"> </w:t>
      </w:r>
      <w:r w:rsidR="00C1607A">
        <w:t>(ASV)</w:t>
      </w:r>
      <w:r w:rsidR="00C1607A">
        <w:t xml:space="preserve"> </w:t>
      </w:r>
      <w:r w:rsidR="00A86BF7">
        <w:t>is</w:t>
      </w:r>
      <w:r w:rsidR="004A5306">
        <w:t xml:space="preserve"> oral-typical</w:t>
      </w:r>
      <w:r w:rsidR="00A86BF7">
        <w:t xml:space="preserve"> or -atypical</w:t>
      </w:r>
      <w:r w:rsidR="005624AC">
        <w:t xml:space="preserve"> </w:t>
      </w:r>
      <w:r w:rsidR="00A86BF7">
        <w:t xml:space="preserve">by exactly </w:t>
      </w:r>
      <w:r w:rsidR="004A5306">
        <w:t>match</w:t>
      </w:r>
      <w:r w:rsidR="00A86BF7">
        <w:t xml:space="preserve">ing </w:t>
      </w:r>
      <w:r w:rsidR="004A5306">
        <w:t>the</w:t>
      </w:r>
      <w:r w:rsidR="00A86BF7">
        <w:t xml:space="preserve"> sequences in the</w:t>
      </w:r>
      <w:r w:rsidR="004A5306">
        <w:t xml:space="preserve"> </w:t>
      </w:r>
      <w:r w:rsidR="004F3530">
        <w:t>collection</w:t>
      </w:r>
      <w:r w:rsidR="004A5306">
        <w:t>.</w:t>
      </w:r>
      <w:r w:rsidR="004F3530">
        <w:t xml:space="preserve"> On average, 4.5% ASVs </w:t>
      </w:r>
      <w:r w:rsidR="00C1607A">
        <w:t xml:space="preserve">in the distal gut microbiome of the 11 </w:t>
      </w:r>
      <w:r w:rsidR="003C063E">
        <w:t xml:space="preserve">pregnant </w:t>
      </w:r>
      <w:r w:rsidR="00C1607A">
        <w:t xml:space="preserve">mice </w:t>
      </w:r>
      <w:r w:rsidR="00333B92">
        <w:t>wer</w:t>
      </w:r>
      <w:r w:rsidR="00077D7D">
        <w:t xml:space="preserve">e </w:t>
      </w:r>
      <w:r w:rsidR="005D4B56">
        <w:t xml:space="preserve">found </w:t>
      </w:r>
      <w:r w:rsidR="004F3530">
        <w:t xml:space="preserve">to </w:t>
      </w:r>
      <w:r w:rsidR="006A58DB">
        <w:t xml:space="preserve">be </w:t>
      </w:r>
      <w:r w:rsidR="004C178F">
        <w:t>oral-typical</w:t>
      </w:r>
      <w:r w:rsidR="00C1607A">
        <w:t xml:space="preserve">. </w:t>
      </w:r>
      <w:r w:rsidR="00556F64">
        <w:t>In 10 out of the</w:t>
      </w:r>
      <w:r w:rsidR="00704CAB">
        <w:t xml:space="preserve"> 1</w:t>
      </w:r>
      <w:r w:rsidR="00556F64">
        <w:t>1</w:t>
      </w:r>
      <w:r w:rsidR="00A82186">
        <w:t xml:space="preserve"> </w:t>
      </w:r>
      <w:r w:rsidR="00704CAB">
        <w:t xml:space="preserve">mice, </w:t>
      </w:r>
      <w:r w:rsidR="00DD035B">
        <w:t>&gt;8</w:t>
      </w:r>
      <w:r w:rsidR="00B91C51">
        <w:t>5</w:t>
      </w:r>
      <w:r w:rsidR="00DD035B">
        <w:t xml:space="preserve">% of the total fractions </w:t>
      </w:r>
      <w:r w:rsidR="0029188B">
        <w:t xml:space="preserve">of </w:t>
      </w:r>
      <w:r w:rsidR="00E26BDF">
        <w:t xml:space="preserve">the oral-typical </w:t>
      </w:r>
      <w:r w:rsidR="00451359">
        <w:t xml:space="preserve">ASVs </w:t>
      </w:r>
      <w:r w:rsidR="00902E2D">
        <w:t xml:space="preserve">in the gut </w:t>
      </w:r>
      <w:r w:rsidR="003C77AE">
        <w:t>were</w:t>
      </w:r>
      <w:r w:rsidR="00704CAB">
        <w:t xml:space="preserve"> contributed by </w:t>
      </w:r>
      <w:r w:rsidR="00451359">
        <w:t>those</w:t>
      </w:r>
      <w:r w:rsidR="00453D3C">
        <w:t xml:space="preserve"> </w:t>
      </w:r>
      <w:r w:rsidR="00704CAB">
        <w:t xml:space="preserve">present in the </w:t>
      </w:r>
      <w:r w:rsidR="00902E2D">
        <w:t>oral cavity of the same mice</w:t>
      </w:r>
      <w:r w:rsidR="005A1354">
        <w:t xml:space="preserve"> (</w:t>
      </w:r>
      <w:r w:rsidR="005A1354" w:rsidRPr="00BD0616">
        <w:rPr>
          <w:highlight w:val="yellow"/>
        </w:rPr>
        <w:t xml:space="preserve">Fig. </w:t>
      </w:r>
      <w:r w:rsidR="00016F55">
        <w:rPr>
          <w:highlight w:val="yellow"/>
        </w:rPr>
        <w:t>S</w:t>
      </w:r>
      <w:r w:rsidR="005A1354" w:rsidRPr="00BD0616">
        <w:rPr>
          <w:highlight w:val="yellow"/>
        </w:rPr>
        <w:t>1C</w:t>
      </w:r>
      <w:r w:rsidR="005A1354">
        <w:t xml:space="preserve">). </w:t>
      </w:r>
    </w:p>
    <w:p w14:paraId="423A7FB7" w14:textId="2BD20F61" w:rsidR="00170DC4" w:rsidRDefault="007B2F80" w:rsidP="00170DC4">
      <w:pPr>
        <w:ind w:firstLine="720"/>
      </w:pPr>
      <w:r w:rsidRPr="00AC26F8">
        <w:t xml:space="preserve">Having established the </w:t>
      </w:r>
      <w:r w:rsidR="002F73A8">
        <w:t xml:space="preserve">reference </w:t>
      </w:r>
      <w:r w:rsidR="00986134">
        <w:t>marker gene</w:t>
      </w:r>
      <w:r w:rsidR="0087623B">
        <w:t xml:space="preserve"> </w:t>
      </w:r>
      <w:r w:rsidR="00BD6797">
        <w:t>collection</w:t>
      </w:r>
      <w:r w:rsidRPr="00AC26F8">
        <w:t xml:space="preserve">, we sought to </w:t>
      </w:r>
      <w:r>
        <w:t>test the expansion vs.</w:t>
      </w:r>
      <w:r w:rsidRPr="00AC26F8">
        <w:t xml:space="preserve"> the marker hypothesis </w:t>
      </w:r>
      <w:r>
        <w:t>in mice.</w:t>
      </w:r>
      <w:r w:rsidR="00CD424E">
        <w:t xml:space="preserve"> </w:t>
      </w:r>
      <w:r>
        <w:t xml:space="preserve">We first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Pr="00AC26F8">
        <w:t>an antibiotic cocktail (Ampicillin-Vancomycin-Neomycin-Metronidazole) for 5 days</w:t>
      </w:r>
      <w:r w:rsidR="00875B8F">
        <w:t xml:space="preserve"> (</w:t>
      </w:r>
      <w:r w:rsidR="00875B8F" w:rsidRPr="00875B8F">
        <w:rPr>
          <w:highlight w:val="yellow"/>
        </w:rPr>
        <w:t>Fig. 2A</w:t>
      </w:r>
      <w:r w:rsidR="00875B8F">
        <w:t>)</w:t>
      </w:r>
      <w:r w:rsidRPr="00AC26F8">
        <w:t xml:space="preserve">. </w:t>
      </w:r>
      <w:r w:rsidR="000A57CB">
        <w:t>The</w:t>
      </w:r>
      <w:r w:rsidR="00A56F14">
        <w:t xml:space="preserve"> </w:t>
      </w:r>
      <w:r w:rsidR="00F61516">
        <w:t>oral populations</w:t>
      </w:r>
      <w:r w:rsidR="00354BA5">
        <w:t>, mainly consisting of three</w:t>
      </w:r>
      <w:r w:rsidR="00A56F14">
        <w:t xml:space="preserve"> </w:t>
      </w:r>
      <w:r w:rsidR="00354BA5">
        <w:t>ASVs</w:t>
      </w:r>
      <w:r w:rsidR="00A56F14">
        <w:t xml:space="preserve"> </w:t>
      </w:r>
      <w:r w:rsidR="00A56F14">
        <w:rPr>
          <w:rFonts w:hint="eastAsia"/>
        </w:rPr>
        <w:t>from</w:t>
      </w:r>
      <w:r w:rsidR="00A56F14">
        <w:t xml:space="preserve"> the genera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A56F14">
        <w:t>are enriched in relative abundance after two days’ exposure (</w:t>
      </w:r>
      <w:r w:rsidR="00A56F14" w:rsidRPr="00A56F14">
        <w:rPr>
          <w:highlight w:val="yellow"/>
        </w:rPr>
        <w:t>Fig. 2B</w:t>
      </w:r>
      <w:r w:rsidR="00A56F14">
        <w:t>).</w:t>
      </w:r>
      <w:r w:rsidR="000A57CB">
        <w:t xml:space="preserve"> However</w:t>
      </w:r>
      <w:r w:rsidR="00C130FC">
        <w:t xml:space="preserve">, we did not observe an active expansion of the potentially translocated oral populations </w:t>
      </w:r>
      <w:r w:rsidR="000A57CB">
        <w:t>c</w:t>
      </w:r>
      <w:r w:rsidR="000A57CB">
        <w:t>ompared to the control group</w:t>
      </w:r>
      <w:r w:rsidR="000A57CB">
        <w:t xml:space="preserve"> </w:t>
      </w:r>
      <w:r w:rsidR="00C130FC">
        <w:t xml:space="preserve">by </w:t>
      </w:r>
      <w:r w:rsidR="009A4CAE">
        <w:t>tra</w:t>
      </w:r>
      <w:r w:rsidR="001E7460">
        <w:t>cking</w:t>
      </w:r>
      <w:r w:rsidR="00102AD3">
        <w:t xml:space="preserve"> the longitudinal changes of</w:t>
      </w:r>
      <w:r w:rsidR="004A5CB0">
        <w:t xml:space="preserve"> the</w:t>
      </w:r>
      <w:r w:rsidRPr="00AC26F8">
        <w:t xml:space="preserve"> mean oral bacterial loads </w:t>
      </w:r>
      <w:r w:rsidR="00192CF8">
        <w:t xml:space="preserve">(total </w:t>
      </w:r>
      <w:r w:rsidR="009D3C28">
        <w:t xml:space="preserve">bacterial loads </w:t>
      </w:r>
      <w:r w:rsidR="00192CF8">
        <w:t xml:space="preserve">multiplied </w:t>
      </w:r>
      <w:r w:rsidR="009D3C28">
        <w:t>by</w:t>
      </w:r>
      <w:r w:rsidR="00192CF8">
        <w:t xml:space="preserve"> fractions of oral-typical ASVs)</w:t>
      </w:r>
      <w:r w:rsidR="004A5CB0">
        <w:t xml:space="preserve"> </w:t>
      </w:r>
      <w:r w:rsidR="00C130FC">
        <w:t>(</w:t>
      </w:r>
      <w:r w:rsidR="00C130FC" w:rsidRPr="00C130FC">
        <w:rPr>
          <w:highlight w:val="yellow"/>
        </w:rPr>
        <w:t>Fig. 2C</w:t>
      </w:r>
      <w:r w:rsidR="00C130FC">
        <w:t>, left). By contrast, the antibiotic cocktail reduced the averaged gut-resident (i.e., oral-atypical) bacteria</w:t>
      </w:r>
      <w:r w:rsidR="009A4CAE">
        <w:t>l density</w:t>
      </w:r>
      <w:r w:rsidR="00C130FC">
        <w:t xml:space="preserve"> by </w:t>
      </w:r>
      <w:r w:rsidR="009D3C28">
        <w:t>more than 2 orders of magnitude</w:t>
      </w:r>
      <w:r w:rsidR="004A5CB0">
        <w:t>s</w:t>
      </w:r>
      <w:r w:rsidR="009D3C28">
        <w:t xml:space="preserve"> (</w:t>
      </w:r>
      <w:r w:rsidR="009D3C28" w:rsidRPr="009D3C28">
        <w:rPr>
          <w:highlight w:val="yellow"/>
        </w:rPr>
        <w:t>Fig. 2C</w:t>
      </w:r>
      <w:r w:rsidR="009D3C28">
        <w:t>, right).</w:t>
      </w:r>
      <w:r w:rsidR="00461C74">
        <w:t xml:space="preserve"> </w:t>
      </w:r>
      <w:r w:rsidR="00701D75">
        <w:t xml:space="preserve">The </w:t>
      </w:r>
      <w:r w:rsidR="005E6B75">
        <w:t>differential</w:t>
      </w:r>
      <w:r w:rsidR="00BB7D22">
        <w:t xml:space="preserve"> responses of </w:t>
      </w:r>
      <w:r w:rsidR="00371F87">
        <w:t xml:space="preserve">the </w:t>
      </w:r>
      <w:r w:rsidR="00BB7D22">
        <w:t xml:space="preserve">oral vs. gut populations </w:t>
      </w:r>
      <w:r w:rsidR="00701D75">
        <w:t>clearly support the marker hypothesis</w:t>
      </w:r>
      <w:r w:rsidR="00BF256D">
        <w:t>:</w:t>
      </w:r>
      <w:r w:rsidR="00701D75">
        <w:t xml:space="preserve"> </w:t>
      </w:r>
      <w:r w:rsidR="00BB7D22">
        <w:t>the high relative abundances of oral-typical bacteria</w:t>
      </w:r>
      <w:r w:rsidR="0094504D">
        <w:t xml:space="preserve"> in feces</w:t>
      </w:r>
      <w:r w:rsidR="00BB7D22">
        <w:t xml:space="preserve"> simply indicate the depletion of gut commensals</w:t>
      </w:r>
      <w:r w:rsidR="00BF256D">
        <w:t xml:space="preserve">. Interestingly, the oral bacterial fractions are linearly correlated </w:t>
      </w:r>
      <w:r w:rsidR="00531E1C">
        <w:t>(</w:t>
      </w:r>
      <w:r w:rsidR="00F30036">
        <w:t>r</w:t>
      </w:r>
      <w:r w:rsidR="00851596">
        <w:t xml:space="preserve"> </w:t>
      </w:r>
      <w:r w:rsidR="00531E1C">
        <w:t>=</w:t>
      </w:r>
      <w:r w:rsidR="00851596">
        <w:t xml:space="preserve"> </w:t>
      </w:r>
      <w:r w:rsidR="00531E1C">
        <w:t xml:space="preserve">-0.52, </w:t>
      </w:r>
      <w:r w:rsidR="0072742B">
        <w:t>P</w:t>
      </w:r>
      <w:r w:rsidR="00851596">
        <w:t xml:space="preserve"> </w:t>
      </w:r>
      <w:r w:rsidR="00531E1C">
        <w:t>=</w:t>
      </w:r>
      <w:r w:rsidR="00851596">
        <w:t xml:space="preserve"> </w:t>
      </w:r>
      <w:r w:rsidR="00531E1C">
        <w:t xml:space="preserve">3.5e-17) </w:t>
      </w:r>
      <w:r w:rsidR="00BF256D">
        <w:t xml:space="preserve">with the </w:t>
      </w:r>
      <w:r w:rsidR="00BB7D22">
        <w:t>total bacterial loads</w:t>
      </w:r>
      <w:r w:rsidR="00BF256D">
        <w:t xml:space="preserve"> on the log scale</w:t>
      </w:r>
      <w:r w:rsidR="00BB7D22">
        <w:t xml:space="preserve"> (</w:t>
      </w:r>
      <w:r w:rsidR="00BB7D22" w:rsidRPr="00BB7D22">
        <w:rPr>
          <w:highlight w:val="yellow"/>
        </w:rPr>
        <w:t>Fig. 2D</w:t>
      </w:r>
      <w:r w:rsidR="00BB7D22">
        <w:t>).</w:t>
      </w:r>
      <w:r w:rsidR="000C76DD">
        <w:t xml:space="preserve"> </w:t>
      </w:r>
      <w:r w:rsidR="00B07AC5">
        <w:t xml:space="preserve">It is likely that </w:t>
      </w:r>
      <w:r w:rsidR="00531E1C">
        <w:t>the dominant</w:t>
      </w:r>
      <w:r w:rsidR="00B07AC5">
        <w:t xml:space="preserve"> ASVs</w:t>
      </w:r>
      <w:r w:rsidR="00C87758">
        <w:t xml:space="preserve"> (</w:t>
      </w:r>
      <w:r w:rsidR="00B865E5" w:rsidRPr="00B865E5">
        <w:rPr>
          <w:highlight w:val="yellow"/>
        </w:rPr>
        <w:t>Fig. S2A</w:t>
      </w:r>
      <w:r w:rsidR="00C87758">
        <w:t>)</w:t>
      </w:r>
      <w:r w:rsidR="00B07AC5">
        <w:t xml:space="preserve"> in the outlier samples (those</w:t>
      </w:r>
      <w:r w:rsidR="00B07AC5" w:rsidRPr="00B07AC5">
        <w:t xml:space="preserve"> </w:t>
      </w:r>
      <w:r w:rsidR="00B07AC5">
        <w:t>with low</w:t>
      </w:r>
      <w:r w:rsidR="00D005D2">
        <w:t xml:space="preserve"> total</w:t>
      </w:r>
      <w:r w:rsidR="00B07AC5">
        <w:t xml:space="preserve"> </w:t>
      </w:r>
      <w:r w:rsidR="00D35C13">
        <w:t>fractions</w:t>
      </w:r>
      <w:r w:rsidR="00B07AC5">
        <w:t xml:space="preserve"> of oral-typical ASVs and low total bacterial loads</w:t>
      </w:r>
      <w:r w:rsidR="00F93413">
        <w:t xml:space="preserve">; see the red box in </w:t>
      </w:r>
      <w:r w:rsidR="00F93413" w:rsidRPr="00F93413">
        <w:rPr>
          <w:highlight w:val="yellow"/>
        </w:rPr>
        <w:t>Fig. S2</w:t>
      </w:r>
      <w:r w:rsidR="00B07AC5">
        <w:t xml:space="preserve">) </w:t>
      </w:r>
      <w:r w:rsidR="00B865E5">
        <w:t>were</w:t>
      </w:r>
      <w:r w:rsidR="00531E1C">
        <w:t xml:space="preserve"> oral-</w:t>
      </w:r>
      <w:r w:rsidR="00B865E5">
        <w:t>derived</w:t>
      </w:r>
      <w:r w:rsidR="00531E1C">
        <w:t xml:space="preserve"> but </w:t>
      </w:r>
      <w:r w:rsidR="00B07AC5">
        <w:t>undetected by filtered-MOMD.</w:t>
      </w:r>
      <w:r w:rsidR="00531E1C">
        <w:t xml:space="preserve"> Since these outliers were collected between day 1-6 (</w:t>
      </w:r>
      <w:r w:rsidR="00531E1C" w:rsidRPr="006F5A59">
        <w:rPr>
          <w:highlight w:val="yellow"/>
        </w:rPr>
        <w:t>Fig</w:t>
      </w:r>
      <w:r w:rsidR="00531E1C" w:rsidRPr="00B865E5">
        <w:rPr>
          <w:highlight w:val="yellow"/>
        </w:rPr>
        <w:t>. S2</w:t>
      </w:r>
      <w:r w:rsidR="00B865E5" w:rsidRPr="00B865E5">
        <w:rPr>
          <w:highlight w:val="yellow"/>
        </w:rPr>
        <w:t>B</w:t>
      </w:r>
      <w:r w:rsidR="00531E1C">
        <w:t xml:space="preserve">), </w:t>
      </w:r>
      <w:r w:rsidR="004E5C3E">
        <w:t xml:space="preserve">the underestimated total </w:t>
      </w:r>
      <w:r w:rsidR="004E5C3E">
        <w:lastRenderedPageBreak/>
        <w:t>fractions of oral-typical bacteria</w:t>
      </w:r>
      <w:r w:rsidR="00C87758">
        <w:t xml:space="preserve"> may</w:t>
      </w:r>
      <w:r w:rsidR="004E5C3E">
        <w:t xml:space="preserve"> explain the abrupt </w:t>
      </w:r>
      <w:r w:rsidR="000B4FB5">
        <w:t>and unexpected falls</w:t>
      </w:r>
      <w:r w:rsidR="004E5C3E">
        <w:t xml:space="preserve"> of the </w:t>
      </w:r>
      <w:r w:rsidR="001E3E2E">
        <w:t xml:space="preserve">total </w:t>
      </w:r>
      <w:r w:rsidR="004E5C3E">
        <w:t>oral bacterial fraction</w:t>
      </w:r>
      <w:r w:rsidR="001E3E2E">
        <w:t>s</w:t>
      </w:r>
      <w:r w:rsidR="004E5C3E">
        <w:t xml:space="preserve"> (</w:t>
      </w:r>
      <w:r w:rsidR="004E5C3E" w:rsidRPr="004E5C3E">
        <w:rPr>
          <w:highlight w:val="yellow"/>
        </w:rPr>
        <w:t>Fig. 2B</w:t>
      </w:r>
      <w:r w:rsidR="004E5C3E">
        <w:t xml:space="preserve">) </w:t>
      </w:r>
      <w:r w:rsidR="00345DBD">
        <w:t>and</w:t>
      </w:r>
      <w:r w:rsidR="004E5C3E">
        <w:t xml:space="preserve"> load</w:t>
      </w:r>
      <w:r w:rsidR="001E3E2E">
        <w:t>s</w:t>
      </w:r>
      <w:r w:rsidR="004E5C3E">
        <w:t xml:space="preserve"> (</w:t>
      </w:r>
      <w:r w:rsidR="004E5C3E" w:rsidRPr="004E5C3E">
        <w:rPr>
          <w:highlight w:val="yellow"/>
        </w:rPr>
        <w:t>Fig. 2C</w:t>
      </w:r>
      <w:r w:rsidR="004E5C3E">
        <w:t>) after day 2</w:t>
      </w:r>
      <w:r w:rsidR="00A2731C">
        <w:t xml:space="preserve"> during the antibiotic exposure</w:t>
      </w:r>
      <w:r w:rsidR="004E5C3E">
        <w:t>.</w:t>
      </w:r>
    </w:p>
    <w:p w14:paraId="2EA907DC" w14:textId="6CD63E0B" w:rsidR="00BB7D22" w:rsidRDefault="00BF4DF3" w:rsidP="00170DC4">
      <w:pPr>
        <w:ind w:firstLine="720"/>
      </w:pPr>
      <w:r>
        <w:t>The same conclusions were drawn by</w:t>
      </w:r>
      <w:r w:rsidR="00F523E6">
        <w:t xml:space="preserve"> reanalyz</w:t>
      </w:r>
      <w:r>
        <w:t>ing</w:t>
      </w:r>
      <w:r w:rsidR="00F523E6">
        <w:t xml:space="preserve"> another </w:t>
      </w:r>
      <w:r w:rsidR="00527EEF">
        <w:t xml:space="preserve">public data from </w:t>
      </w:r>
      <w:r w:rsidR="002B1CD7">
        <w:t xml:space="preserve">bone-marrow-transplanted mice </w:t>
      </w:r>
      <w:r w:rsidR="00130FFE">
        <w:t>that received d</w:t>
      </w:r>
      <w:r w:rsidR="003A2DBC">
        <w:t xml:space="preserve">ifferent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t>not</w:t>
      </w:r>
      <w:r w:rsidR="00F523E6">
        <w:t xml:space="preserve"> Streptomycin, Aztreonam, </w:t>
      </w:r>
      <w:r>
        <w:t xml:space="preserve">or </w:t>
      </w:r>
      <w:r w:rsidR="00F523E6">
        <w:t xml:space="preserve">Vancomycin </w:t>
      </w:r>
      <w:r>
        <w:t xml:space="preserve">consistently depleted gut </w:t>
      </w:r>
      <w:r w:rsidR="00C11E0D">
        <w:t xml:space="preserve">bacterial biomass </w:t>
      </w:r>
      <w:r>
        <w:t>(</w:t>
      </w:r>
      <w:r w:rsidRPr="00BF4DF3">
        <w:rPr>
          <w:highlight w:val="yellow"/>
        </w:rPr>
        <w:t>Fig. S3A</w:t>
      </w:r>
      <w:r>
        <w:t xml:space="preserve">). </w:t>
      </w:r>
      <w:r w:rsidR="00901F08">
        <w:t xml:space="preserve">The oral bacterial loads </w:t>
      </w:r>
      <w:r w:rsidR="007D2A6D">
        <w:t>were</w:t>
      </w:r>
      <w:r w:rsidR="00901F08">
        <w:t xml:space="preserve"> stable throughout the experiments </w:t>
      </w:r>
      <w:r w:rsidR="00371EBB">
        <w:t xml:space="preserve">for all </w:t>
      </w:r>
      <w:r w:rsidR="00DE7BA1">
        <w:t xml:space="preserve">four </w:t>
      </w:r>
      <w:r w:rsidR="00371EBB">
        <w:t>antibiotics including ampicillin (</w:t>
      </w:r>
      <w:r w:rsidR="00371EBB" w:rsidRPr="00371EBB">
        <w:rPr>
          <w:highlight w:val="yellow"/>
        </w:rPr>
        <w:t>Fig. S3B</w:t>
      </w:r>
      <w:r w:rsidR="00371EBB">
        <w:t xml:space="preserve">). </w:t>
      </w:r>
      <w:r w:rsidR="00E82DF4">
        <w:t xml:space="preserve">A </w:t>
      </w:r>
      <w:r w:rsidR="003B4A96">
        <w:t xml:space="preserve">log-log </w:t>
      </w:r>
      <w:r w:rsidR="00527EEF">
        <w:t xml:space="preserve">linear relationship </w:t>
      </w:r>
      <w:r w:rsidR="00224E3B">
        <w:t>(r</w:t>
      </w:r>
      <w:r w:rsidR="00CE0B9F">
        <w:t xml:space="preserve"> </w:t>
      </w:r>
      <w:r w:rsidR="00224E3B">
        <w:t>=</w:t>
      </w:r>
      <w:r w:rsidR="00CE0B9F">
        <w:t xml:space="preserve"> </w:t>
      </w:r>
      <w:r w:rsidR="00C214BB">
        <w:t>-0.75</w:t>
      </w:r>
      <w:r w:rsidR="00224E3B">
        <w:t>, P</w:t>
      </w:r>
      <w:r w:rsidR="00CE0B9F">
        <w:t xml:space="preserve"> </w:t>
      </w:r>
      <w:r w:rsidR="00224E3B">
        <w:t>=</w:t>
      </w:r>
      <w:r w:rsidR="00CE0B9F">
        <w:t xml:space="preserve"> </w:t>
      </w:r>
      <w:r w:rsidR="00C214BB">
        <w:t>5.5e-11</w:t>
      </w:r>
      <w:r w:rsidR="00224E3B">
        <w:t xml:space="preserve">) </w:t>
      </w:r>
      <w:r w:rsidR="00371EBB">
        <w:t>between oral bacterial fractions and</w:t>
      </w:r>
      <w:r w:rsidR="00527EEF">
        <w:t xml:space="preserve"> total bacterial</w:t>
      </w:r>
      <w:r w:rsidR="00896BAD">
        <w:t xml:space="preserve"> loads was shown </w:t>
      </w:r>
      <w:r w:rsidR="000C76DD">
        <w:t>(</w:t>
      </w:r>
      <w:r w:rsidR="000C76DD" w:rsidRPr="000C76DD">
        <w:rPr>
          <w:highlight w:val="yellow"/>
        </w:rPr>
        <w:t>Fig</w:t>
      </w:r>
      <w:r w:rsidR="000C76DD" w:rsidRPr="004A4218">
        <w:rPr>
          <w:highlight w:val="yellow"/>
        </w:rPr>
        <w:t>. S3</w:t>
      </w:r>
      <w:r w:rsidR="004A4218" w:rsidRPr="004A4218">
        <w:rPr>
          <w:highlight w:val="yellow"/>
        </w:rPr>
        <w:t>C</w:t>
      </w:r>
      <w:r w:rsidR="000C76DD">
        <w:t>).</w:t>
      </w:r>
      <w:r w:rsidR="002B1CD7">
        <w:t xml:space="preserve"> </w:t>
      </w:r>
    </w:p>
    <w:p w14:paraId="10672CEC" w14:textId="28DFA2B3" w:rsidR="007B2F80" w:rsidRDefault="007B2F80" w:rsidP="007B2F80">
      <w:r w:rsidRPr="00AC26F8">
        <w:tab/>
        <w:t xml:space="preserve">The reanalysis of </w:t>
      </w:r>
      <w:r w:rsidR="0024480A">
        <w:t>the two public datasets</w:t>
      </w:r>
      <w:r w:rsidRPr="00AC26F8">
        <w:t xml:space="preserve"> were limited by the lack of paired</w:t>
      </w:r>
      <w:r w:rsidR="00ED03BA">
        <w:t xml:space="preserve"> </w:t>
      </w:r>
      <w:r w:rsidRPr="00AC26F8">
        <w:t>oral</w:t>
      </w:r>
      <w:r w:rsidR="00ED03BA">
        <w:t>-gut</w:t>
      </w:r>
      <w:r w:rsidRPr="00AC26F8">
        <w:t xml:space="preserve"> samples</w:t>
      </w:r>
      <w:r w:rsidR="00ED03BA">
        <w:t>, which prevent</w:t>
      </w:r>
      <w:r w:rsidR="001617A9">
        <w:t>ed</w:t>
      </w:r>
      <w:r w:rsidR="00ED03BA">
        <w:t xml:space="preserve"> us from showing</w:t>
      </w:r>
      <w:r w:rsidR="00FF7F59">
        <w:t xml:space="preserve"> translocation of bacterial DNAs</w:t>
      </w:r>
      <w:r w:rsidR="00ED03BA">
        <w:t xml:space="preserve"> </w:t>
      </w:r>
      <w:r w:rsidR="00CD13C8">
        <w:t xml:space="preserve">from </w:t>
      </w:r>
      <w:r w:rsidR="00ED03BA">
        <w:t>th</w:t>
      </w:r>
      <w:r w:rsidRPr="00AC26F8">
        <w:t>e oral cavity</w:t>
      </w:r>
      <w:r w:rsidR="00BA3FA1">
        <w:t xml:space="preserve"> </w:t>
      </w:r>
      <w:r w:rsidR="00FF7F59">
        <w:t xml:space="preserve">to the gut </w:t>
      </w:r>
      <w:r w:rsidR="00D15C00">
        <w:t>under antibiotic treatment</w:t>
      </w:r>
      <w:r w:rsidRPr="00AC26F8">
        <w:t>.</w:t>
      </w:r>
      <w:r w:rsidR="0061656B">
        <w:t xml:space="preserve"> </w:t>
      </w:r>
      <w:r w:rsidRPr="00AC26F8">
        <w:t xml:space="preserve">We therefore conducted </w:t>
      </w:r>
      <w:r w:rsidR="001617A9">
        <w:t xml:space="preserve">a </w:t>
      </w:r>
      <w:r w:rsidR="0061656B">
        <w:t>simple yet dedicated mouse</w:t>
      </w:r>
      <w:r w:rsidRPr="00AC26F8">
        <w:t xml:space="preserve"> experiment </w:t>
      </w:r>
      <w:r w:rsidR="0061656B">
        <w:t>where paired oral-gut samples were collected prior to antibiotic treatment (</w:t>
      </w:r>
      <w:r w:rsidR="0061656B" w:rsidRPr="0061656B">
        <w:rPr>
          <w:highlight w:val="yellow"/>
        </w:rPr>
        <w:t>Fig. 2E</w:t>
      </w:r>
      <w:r w:rsidR="0061656B">
        <w:t>)</w:t>
      </w:r>
      <w:r w:rsidRPr="00AC26F8">
        <w:t>.</w:t>
      </w:r>
      <w:r w:rsidR="0098078E">
        <w:t xml:space="preserve"> The premise of the experiment is that, if antibiotics facilitate </w:t>
      </w:r>
      <w:r w:rsidR="00266F69">
        <w:t xml:space="preserve">massive transmission </w:t>
      </w:r>
      <w:r w:rsidR="0098078E">
        <w:t xml:space="preserve">of oral bacteria to the gut, we </w:t>
      </w:r>
      <w:r w:rsidR="0094238F">
        <w:t>expect</w:t>
      </w:r>
      <w:r w:rsidR="0098078E">
        <w:t xml:space="preserve"> to </w:t>
      </w:r>
      <w:r w:rsidR="004D1DA8">
        <w:t>see</w:t>
      </w:r>
      <w:r w:rsidR="0098078E">
        <w:t xml:space="preserve"> </w:t>
      </w:r>
      <w:r w:rsidR="004D1DA8">
        <w:t>higher similarity of the</w:t>
      </w:r>
      <w:r w:rsidR="0098078E">
        <w:t xml:space="preserve"> </w:t>
      </w:r>
      <w:r w:rsidR="00266F69">
        <w:t xml:space="preserve">post-antibiotic gut </w:t>
      </w:r>
      <w:r w:rsidR="0098078E">
        <w:t xml:space="preserve">microbiome </w:t>
      </w:r>
      <w:r w:rsidR="00266F69">
        <w:t xml:space="preserve">to </w:t>
      </w:r>
      <w:r w:rsidR="00AA5371">
        <w:t>t</w:t>
      </w:r>
      <w:r w:rsidR="00266F69">
        <w:t xml:space="preserve">he pre-antibiotic oral </w:t>
      </w:r>
      <w:r w:rsidR="00784228">
        <w:t xml:space="preserve">microbiome </w:t>
      </w:r>
      <w:r w:rsidR="00266F69">
        <w:t xml:space="preserve">than </w:t>
      </w:r>
      <w:r w:rsidR="00FC4841">
        <w:t xml:space="preserve">to </w:t>
      </w:r>
      <w:r w:rsidR="00266F69">
        <w:t xml:space="preserve">the pre-antibiotic fecal </w:t>
      </w:r>
      <w:r w:rsidR="00107A87">
        <w:t>microbiome</w:t>
      </w:r>
      <w:r w:rsidR="00266F69">
        <w:t>. Indeed, the fecal samples at day 8 share</w:t>
      </w:r>
      <w:r w:rsidR="00A11E9C">
        <w:t>d</w:t>
      </w:r>
      <w:r w:rsidR="00266F69">
        <w:t xml:space="preserve"> more identical ASVs </w:t>
      </w:r>
      <w:r w:rsidR="00C87D83">
        <w:t xml:space="preserve">(Hamming distance) </w:t>
      </w:r>
      <w:r w:rsidR="00266F69">
        <w:t>with the oral samples at day 0 and</w:t>
      </w:r>
      <w:r w:rsidR="00A11E9C">
        <w:t xml:space="preserve"> were </w:t>
      </w:r>
      <w:r w:rsidR="0055480C">
        <w:t>also compositionally similar</w:t>
      </w:r>
      <w:r w:rsidR="00266F69">
        <w:t xml:space="preserve"> </w:t>
      </w:r>
      <w:r w:rsidR="00C87D83">
        <w:t>(Bray-</w:t>
      </w:r>
      <w:proofErr w:type="gramStart"/>
      <w:r w:rsidR="00C87D83">
        <w:t>Curtis</w:t>
      </w:r>
      <w:proofErr w:type="gramEnd"/>
      <w:r w:rsidR="00C87D83">
        <w:t xml:space="preserve"> distance) </w:t>
      </w:r>
      <w:r w:rsidR="00266F69">
        <w:t>in 2 out of the 3 mice</w:t>
      </w:r>
      <w:r w:rsidR="004614D6">
        <w:t xml:space="preserve"> </w:t>
      </w:r>
      <w:r w:rsidR="0079571D">
        <w:t>(</w:t>
      </w:r>
      <w:r w:rsidR="0079571D" w:rsidRPr="00F83B2E">
        <w:rPr>
          <w:highlight w:val="yellow"/>
        </w:rPr>
        <w:t>Fig. 3</w:t>
      </w:r>
      <w:r w:rsidR="00F83B2E" w:rsidRPr="00F83B2E">
        <w:rPr>
          <w:highlight w:val="yellow"/>
        </w:rPr>
        <w:t>G</w:t>
      </w:r>
      <w:r w:rsidR="0079571D">
        <w:t>)</w:t>
      </w:r>
      <w:r w:rsidR="004614D6">
        <w:t>. Mo</w:t>
      </w:r>
      <w:r w:rsidR="00DE0918">
        <w:t>st</w:t>
      </w:r>
      <w:r w:rsidR="004614D6">
        <w:t xml:space="preserve"> importantly, </w:t>
      </w:r>
      <w:r w:rsidRPr="00AC26F8">
        <w:t>10%</w:t>
      </w:r>
      <w:r w:rsidR="00606863">
        <w:t>-20%</w:t>
      </w:r>
      <w:r w:rsidRPr="00AC26F8">
        <w:t xml:space="preserve"> of ASVs</w:t>
      </w:r>
      <w:r w:rsidR="00016538">
        <w:t xml:space="preserve"> (the majority from 6</w:t>
      </w:r>
      <w:r w:rsidR="00A00E57">
        <w:t xml:space="preserve"> </w:t>
      </w:r>
      <w:r w:rsidR="00016538">
        <w:t>member</w:t>
      </w:r>
      <w:r w:rsidR="00AF2245">
        <w:t>s</w:t>
      </w:r>
      <w:r w:rsidR="00016538">
        <w:t xml:space="preserve">; </w:t>
      </w:r>
      <w:r w:rsidR="00016538" w:rsidRPr="00016538">
        <w:rPr>
          <w:highlight w:val="yellow"/>
        </w:rPr>
        <w:t>Fig. S4A</w:t>
      </w:r>
      <w:r w:rsidR="00016538">
        <w:t>)</w:t>
      </w:r>
      <w:r w:rsidR="00FC27C3">
        <w:t xml:space="preserve"> </w:t>
      </w:r>
      <w:r w:rsidR="00C90E8E">
        <w:t xml:space="preserve">found </w:t>
      </w:r>
      <w:r w:rsidR="00E31116">
        <w:t>in the post-antibiotic fec</w:t>
      </w:r>
      <w:r w:rsidR="00DE0918">
        <w:t xml:space="preserve">es </w:t>
      </w:r>
      <w:r w:rsidR="00E31116">
        <w:t xml:space="preserve">were </w:t>
      </w:r>
      <w:r w:rsidR="00C90E8E">
        <w:t xml:space="preserve">only detected </w:t>
      </w:r>
      <w:r w:rsidR="00E31116">
        <w:t xml:space="preserve">in the </w:t>
      </w:r>
      <w:r w:rsidR="00C90E8E">
        <w:t xml:space="preserve">pre-antibiotic </w:t>
      </w:r>
      <w:r w:rsidR="00E31116">
        <w:t xml:space="preserve">oral </w:t>
      </w:r>
      <w:r w:rsidR="00DE0918">
        <w:t>microbiome</w:t>
      </w:r>
      <w:r w:rsidR="00606863">
        <w:t xml:space="preserve"> </w:t>
      </w:r>
      <w:r w:rsidR="00F8350C">
        <w:t>(</w:t>
      </w:r>
      <w:r w:rsidR="00F8350C" w:rsidRPr="00F8350C">
        <w:rPr>
          <w:highlight w:val="yellow"/>
        </w:rPr>
        <w:t xml:space="preserve">Fig. </w:t>
      </w:r>
      <w:r w:rsidR="00F8350C" w:rsidRPr="00024CAA">
        <w:rPr>
          <w:highlight w:val="yellow"/>
        </w:rPr>
        <w:t>2H</w:t>
      </w:r>
      <w:r w:rsidR="00F8350C">
        <w:t>)</w:t>
      </w:r>
      <w:r w:rsidR="005B6548">
        <w:t xml:space="preserve">, suggesting </w:t>
      </w:r>
      <w:r w:rsidR="00894690">
        <w:t>antibiotic-induced</w:t>
      </w:r>
      <w:r w:rsidR="00A00E57">
        <w:t xml:space="preserve"> oral-gut</w:t>
      </w:r>
      <w:r w:rsidR="00894690">
        <w:t xml:space="preserve"> </w:t>
      </w:r>
      <w:r w:rsidR="005B6548">
        <w:t>transmission of th</w:t>
      </w:r>
      <w:r w:rsidR="00A00E57">
        <w:t>o</w:t>
      </w:r>
      <w:r w:rsidR="005B6548">
        <w:t>se ASVs</w:t>
      </w:r>
      <w:r w:rsidR="00E31116">
        <w:t>.</w:t>
      </w:r>
      <w:r w:rsidR="00894690">
        <w:t xml:space="preserve"> </w:t>
      </w:r>
      <w:r w:rsidR="00431AEE">
        <w:t>Despite the small number of mice, the oral bacterial loads</w:t>
      </w:r>
      <w:r w:rsidR="003D733C">
        <w:t xml:space="preserve"> </w:t>
      </w:r>
      <w:r w:rsidR="00C3593C">
        <w:t xml:space="preserve">mildly </w:t>
      </w:r>
      <w:r w:rsidR="003D733C">
        <w:t>decreased (</w:t>
      </w:r>
      <w:r w:rsidR="003D733C" w:rsidRPr="003D733C">
        <w:rPr>
          <w:highlight w:val="yellow"/>
        </w:rPr>
        <w:t>Fig. S4B</w:t>
      </w:r>
      <w:r w:rsidR="003D733C">
        <w:t xml:space="preserve">) </w:t>
      </w:r>
      <w:r w:rsidR="00C3593C">
        <w:t>but</w:t>
      </w:r>
      <w:r w:rsidR="003D733C">
        <w:t xml:space="preserve"> the total bacterial loads reduced by ~4 orders of magnitudes (</w:t>
      </w:r>
      <w:r w:rsidR="003D733C" w:rsidRPr="003D733C">
        <w:rPr>
          <w:highlight w:val="yellow"/>
        </w:rPr>
        <w:t>Fig. S4C</w:t>
      </w:r>
      <w:r w:rsidR="003D733C">
        <w:t>)</w:t>
      </w:r>
      <w:r w:rsidR="007669B4">
        <w:t>, again supporting the marker hypothesis</w:t>
      </w:r>
      <w:r w:rsidR="003D733C">
        <w:t>.</w:t>
      </w:r>
    </w:p>
    <w:p w14:paraId="0BFE54AF" w14:textId="3BCC15DB" w:rsidR="00D300B6" w:rsidRDefault="00D300B6" w:rsidP="007B2F80"/>
    <w:p w14:paraId="1F6F564A" w14:textId="10BA22B4" w:rsidR="00D300B6" w:rsidRDefault="0050178F" w:rsidP="00D300B6">
      <w:pPr>
        <w:jc w:val="center"/>
      </w:pPr>
      <w:r>
        <w:rPr>
          <w:noProof/>
        </w:rPr>
        <w:drawing>
          <wp:inline distT="0" distB="0" distL="0" distR="0" wp14:anchorId="4FD2182D" wp14:editId="6CC781FB">
            <wp:extent cx="5411038" cy="3692770"/>
            <wp:effectExtent l="0" t="0" r="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stretch>
                      <a:fillRect/>
                    </a:stretch>
                  </pic:blipFill>
                  <pic:spPr>
                    <a:xfrm>
                      <a:off x="0" y="0"/>
                      <a:ext cx="5419410" cy="3698483"/>
                    </a:xfrm>
                    <a:prstGeom prst="rect">
                      <a:avLst/>
                    </a:prstGeom>
                  </pic:spPr>
                </pic:pic>
              </a:graphicData>
            </a:graphic>
          </wp:inline>
        </w:drawing>
      </w:r>
    </w:p>
    <w:p w14:paraId="626DDEAA" w14:textId="77777777" w:rsidR="00D300B6" w:rsidRDefault="00D300B6" w:rsidP="00D300B6">
      <w:pPr>
        <w:jc w:val="center"/>
      </w:pPr>
    </w:p>
    <w:p w14:paraId="31B5EB1C" w14:textId="6E198813" w:rsidR="00030DC4" w:rsidRDefault="00D300B6" w:rsidP="00D300B6">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DB0C5F" w:rsidRPr="00AC26F8">
        <w:rPr>
          <w:bCs/>
        </w:rPr>
        <w:t>(</w:t>
      </w:r>
      <w:r w:rsidR="00DB0C5F" w:rsidRPr="00AC26F8">
        <w:rPr>
          <w:b/>
        </w:rPr>
        <w:t>A</w:t>
      </w:r>
      <w:r w:rsidR="00DB0C5F">
        <w:rPr>
          <w:b/>
        </w:rPr>
        <w:t>-D</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080723" w:rsidRPr="00080723">
        <w:rPr>
          <w:b/>
        </w:rPr>
        <w:t>A</w:t>
      </w:r>
      <w:r w:rsidR="00080723">
        <w:rPr>
          <w:bCs/>
        </w:rPr>
        <w:t xml:space="preserve">) Experimental design. Mice were </w:t>
      </w:r>
      <w:r w:rsidR="00B40C63">
        <w:rPr>
          <w:bCs/>
        </w:rPr>
        <w:t>tr</w:t>
      </w:r>
      <w:r w:rsidR="00E54380">
        <w:rPr>
          <w:bCs/>
        </w:rPr>
        <w:t>eated</w:t>
      </w:r>
      <w:r w:rsidR="00080723">
        <w:rPr>
          <w:bCs/>
        </w:rPr>
        <w:t xml:space="preserve"> with either water </w:t>
      </w:r>
      <w:r w:rsidR="00080723">
        <w:rPr>
          <w:bCs/>
        </w:rPr>
        <w:lastRenderedPageBreak/>
        <w:t>(the control group; n=</w:t>
      </w:r>
      <w:r w:rsidR="005C74B5">
        <w:rPr>
          <w:bCs/>
        </w:rPr>
        <w:t>11</w:t>
      </w:r>
      <w:r w:rsidR="00080723">
        <w:rPr>
          <w:bCs/>
        </w:rPr>
        <w:t xml:space="preserve">) or an antibiotic cocktail of ampicillin-vancomycin-neomycin-metronidazole (AVNM) (the </w:t>
      </w:r>
      <w:r w:rsidR="005C74B5">
        <w:rPr>
          <w:bCs/>
        </w:rPr>
        <w:t>antibiotic</w:t>
      </w:r>
      <w:r w:rsidR="00080723">
        <w:rPr>
          <w:bCs/>
        </w:rPr>
        <w:t xml:space="preserve"> group; n=</w:t>
      </w:r>
      <w:r w:rsidR="005C74B5">
        <w:rPr>
          <w:bCs/>
        </w:rPr>
        <w:t>10</w:t>
      </w:r>
      <w:r w:rsidR="00080723">
        <w:rPr>
          <w:bCs/>
        </w:rPr>
        <w:t>) for five days. (</w:t>
      </w:r>
      <w:r w:rsidR="00080723" w:rsidRPr="00080723">
        <w:rPr>
          <w:b/>
        </w:rPr>
        <w:t>B</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f oral bacterial ASVs during and after antibiotic cocktail treatment.</w:t>
      </w:r>
      <w:r w:rsidR="006A341D">
        <w:rPr>
          <w:bCs/>
        </w:rPr>
        <w:t xml:space="preserve"> (</w:t>
      </w:r>
      <w:r w:rsidR="006A341D" w:rsidRPr="006A341D">
        <w:rPr>
          <w:b/>
        </w:rPr>
        <w:t>C</w:t>
      </w:r>
      <w:r w:rsidR="006A341D">
        <w:rPr>
          <w:bCs/>
        </w:rPr>
        <w:t xml:space="preserve">) </w:t>
      </w:r>
      <w:r w:rsidR="00E71628">
        <w:rPr>
          <w:bCs/>
        </w:rPr>
        <w:t>Total l</w:t>
      </w:r>
      <w:r w:rsidR="006A341D">
        <w:rPr>
          <w:bCs/>
        </w:rPr>
        <w:t xml:space="preserve">oads of </w:t>
      </w:r>
      <w:r w:rsidR="00E71628">
        <w:rPr>
          <w:bCs/>
        </w:rPr>
        <w:t xml:space="preserve">ASVs classified as of oral (left) and gut (right) origin </w:t>
      </w:r>
      <w:r w:rsidR="006A341D">
        <w:rPr>
          <w:bCs/>
        </w:rPr>
        <w:t xml:space="preserve">averaged across mice in the control </w:t>
      </w:r>
      <w:r w:rsidR="008B13DF">
        <w:rPr>
          <w:bCs/>
        </w:rPr>
        <w:t>and antibiotic group</w:t>
      </w:r>
      <w:r w:rsidR="000743A0">
        <w:rPr>
          <w:bCs/>
        </w:rPr>
        <w:t>s</w:t>
      </w:r>
      <w:r w:rsidR="008B13DF">
        <w:rPr>
          <w:bCs/>
        </w:rPr>
        <w:t>. Lines and dots: mean; shading: 95% confidence interval</w:t>
      </w:r>
      <w:r w:rsidR="005A5541">
        <w:rPr>
          <w:bCs/>
        </w:rPr>
        <w:t xml:space="preserve"> (CI)</w:t>
      </w:r>
      <w:r w:rsidR="008B13DF">
        <w:rPr>
          <w:bCs/>
        </w:rPr>
        <w:t>. (</w:t>
      </w:r>
      <w:r w:rsidR="008B13DF" w:rsidRPr="008B13DF">
        <w:rPr>
          <w:b/>
        </w:rPr>
        <w:t>D</w:t>
      </w:r>
      <w:r w:rsidR="008B13DF">
        <w:rPr>
          <w:bCs/>
        </w:rPr>
        <w:t>)</w:t>
      </w:r>
      <w:r w:rsidR="00337D95">
        <w:rPr>
          <w:rFonts w:hint="eastAsia"/>
          <w:bCs/>
        </w:rPr>
        <w:t xml:space="preserve"> </w:t>
      </w:r>
      <w:r w:rsidR="008B13DF">
        <w:rPr>
          <w:bCs/>
        </w:rPr>
        <w:t xml:space="preserve">Linear relationship between total bacterial loads and oral bacterial fractions in the log-log space. Line: linear regression; shading: 95% </w:t>
      </w:r>
      <w:r w:rsidR="005A5541">
        <w:rPr>
          <w:bCs/>
        </w:rPr>
        <w:t>CI</w:t>
      </w:r>
      <w:r w:rsidR="008B13DF">
        <w:rPr>
          <w:bCs/>
        </w:rPr>
        <w:t>. (</w:t>
      </w:r>
      <w:r w:rsidR="008B13DF" w:rsidRPr="008B13DF">
        <w:rPr>
          <w:b/>
        </w:rPr>
        <w:t>E-I</w:t>
      </w:r>
      <w:r w:rsidR="008B13DF">
        <w:rPr>
          <w:bCs/>
        </w:rPr>
        <w:t xml:space="preserve">) </w:t>
      </w:r>
      <w:r w:rsidR="00973CAA">
        <w:rPr>
          <w:bCs/>
        </w:rPr>
        <w:t>New m</w:t>
      </w:r>
      <w:r w:rsidR="008B13DF">
        <w:rPr>
          <w:bCs/>
        </w:rPr>
        <w:t xml:space="preserve">ouse </w:t>
      </w:r>
      <w:r w:rsidR="00153826">
        <w:rPr>
          <w:bCs/>
        </w:rPr>
        <w:t>experiments</w:t>
      </w:r>
      <w:r w:rsidR="008B13DF">
        <w:rPr>
          <w:bCs/>
        </w:rPr>
        <w:t xml:space="preserve"> in </w:t>
      </w:r>
      <w:r w:rsidR="00973CAA">
        <w:rPr>
          <w:bCs/>
        </w:rPr>
        <w:t>this</w:t>
      </w:r>
      <w:r w:rsidR="008B13DF">
        <w:rPr>
          <w:bCs/>
        </w:rPr>
        <w:t xml:space="preserve"> study. </w:t>
      </w:r>
      <w:r w:rsidR="00153826">
        <w:rPr>
          <w:bCs/>
        </w:rPr>
        <w:t>(</w:t>
      </w:r>
      <w:r w:rsidR="00153826" w:rsidRPr="00153826">
        <w:rPr>
          <w:b/>
        </w:rPr>
        <w:t>E</w:t>
      </w:r>
      <w:r w:rsidR="00153826">
        <w:rPr>
          <w:bCs/>
        </w:rPr>
        <w:t xml:space="preserve">) Experimental design. </w:t>
      </w:r>
      <w:r w:rsidR="00255261">
        <w:rPr>
          <w:bCs/>
        </w:rPr>
        <w:t xml:space="preserve">Three mice </w:t>
      </w:r>
      <w:r w:rsidR="00131582">
        <w:rPr>
          <w:bCs/>
        </w:rPr>
        <w:t xml:space="preserve">(M1, M2, M3) </w:t>
      </w:r>
      <w:r w:rsidR="00255261">
        <w:rPr>
          <w:bCs/>
        </w:rPr>
        <w:t xml:space="preserve">were </w:t>
      </w:r>
      <w:r w:rsidR="00B40C63">
        <w:rPr>
          <w:bCs/>
        </w:rPr>
        <w:t>treated</w:t>
      </w:r>
      <w:r w:rsidR="00255261">
        <w:rPr>
          <w:bCs/>
        </w:rPr>
        <w:t xml:space="preserve"> with </w:t>
      </w:r>
      <w:r w:rsidR="008E259A">
        <w:rPr>
          <w:bCs/>
        </w:rPr>
        <w:t>ampicillin-vancom</w:t>
      </w:r>
      <w:r w:rsidR="006D76B4">
        <w:rPr>
          <w:bCs/>
        </w:rPr>
        <w:t>yc</w:t>
      </w:r>
      <w:r w:rsidR="008E259A">
        <w:rPr>
          <w:bCs/>
        </w:rPr>
        <w:t xml:space="preserve">in-neomycin (AVN) </w:t>
      </w:r>
      <w:r w:rsidR="00412D00">
        <w:rPr>
          <w:bCs/>
        </w:rPr>
        <w:t xml:space="preserve">for </w:t>
      </w:r>
      <w:r w:rsidR="00131582">
        <w:rPr>
          <w:bCs/>
        </w:rPr>
        <w:t>a week</w:t>
      </w:r>
      <w:r w:rsidR="00412D00">
        <w:rPr>
          <w:bCs/>
        </w:rPr>
        <w:t xml:space="preserve">. </w:t>
      </w:r>
      <w:r w:rsidR="005A5541">
        <w:rPr>
          <w:bCs/>
        </w:rPr>
        <w:t xml:space="preserve">Paired oral </w:t>
      </w:r>
      <w:r w:rsidR="005A5541">
        <w:rPr>
          <w:bCs/>
        </w:rPr>
        <w:t>(oral_d0)</w:t>
      </w:r>
      <w:r w:rsidR="005A5541">
        <w:rPr>
          <w:bCs/>
        </w:rPr>
        <w:t xml:space="preserve"> and fecal (fecal_d0) samples were taken at day 0 prior to antibiotic cocktail treatment and post-antibiotic fecal samples (fecal_d8) were collected at day 8. </w:t>
      </w:r>
      <w:r w:rsidR="00131582">
        <w:rPr>
          <w:bCs/>
        </w:rPr>
        <w:t>(</w:t>
      </w:r>
      <w:r w:rsidR="00131582" w:rsidRPr="00131582">
        <w:rPr>
          <w:b/>
        </w:rPr>
        <w:t>F</w:t>
      </w:r>
      <w:r w:rsidR="00131582">
        <w:rPr>
          <w:bCs/>
        </w:rPr>
        <w:t xml:space="preserve">) </w:t>
      </w:r>
      <w:r w:rsidR="00030DC4">
        <w:rPr>
          <w:bCs/>
        </w:rPr>
        <w:t>Gut m</w:t>
      </w:r>
      <w:r w:rsidR="00131582">
        <w:rPr>
          <w:bCs/>
        </w:rPr>
        <w:t xml:space="preserve">icrobiome compositions of </w:t>
      </w:r>
      <w:r w:rsidR="005A5541">
        <w:rPr>
          <w:bCs/>
        </w:rPr>
        <w:t>all pre- and post-antibiotic</w:t>
      </w:r>
      <w:r w:rsidR="00131582">
        <w:rPr>
          <w:bCs/>
        </w:rPr>
        <w:t xml:space="preserve"> </w:t>
      </w:r>
      <w:r w:rsidR="005A5541">
        <w:rPr>
          <w:bCs/>
        </w:rPr>
        <w:t>samples.</w:t>
      </w:r>
      <w:r w:rsidR="00131582">
        <w:rPr>
          <w:bCs/>
        </w:rPr>
        <w:t xml:space="preserve"> </w:t>
      </w:r>
      <w:r w:rsidR="00030DC4">
        <w:rPr>
          <w:bCs/>
        </w:rPr>
        <w:t>(</w:t>
      </w:r>
      <w:r w:rsidR="00030DC4" w:rsidRPr="00030DC4">
        <w:rPr>
          <w:b/>
        </w:rPr>
        <w:t>G</w:t>
      </w:r>
      <w:r w:rsidR="00030DC4">
        <w:rPr>
          <w:bCs/>
        </w:rPr>
        <w:t xml:space="preserve">) </w:t>
      </w:r>
      <w:r w:rsidR="005A5541">
        <w:rPr>
          <w:bCs/>
        </w:rPr>
        <w:t>The H</w:t>
      </w:r>
      <w:r w:rsidR="00030DC4">
        <w:rPr>
          <w:bCs/>
        </w:rPr>
        <w:t xml:space="preserve">amming </w:t>
      </w:r>
      <w:r w:rsidR="0061067F">
        <w:rPr>
          <w:bCs/>
        </w:rPr>
        <w:t xml:space="preserve">and Bray-Curtis </w:t>
      </w:r>
      <w:r w:rsidR="00030DC4">
        <w:rPr>
          <w:bCs/>
        </w:rPr>
        <w:t>distances between the p</w:t>
      </w:r>
      <w:r w:rsidR="00F54D09">
        <w:rPr>
          <w:bCs/>
        </w:rPr>
        <w:t xml:space="preserve">re- and post-antibiotic microbiome compositions. </w:t>
      </w:r>
      <w:r w:rsidR="00030DC4">
        <w:rPr>
          <w:bCs/>
        </w:rPr>
        <w:t>(</w:t>
      </w:r>
      <w:r w:rsidR="00030DC4" w:rsidRPr="00030DC4">
        <w:rPr>
          <w:b/>
        </w:rPr>
        <w:t>H</w:t>
      </w:r>
      <w:r w:rsidR="00030DC4">
        <w:rPr>
          <w:bCs/>
        </w:rPr>
        <w:t>) Sources of ASVs in the post-antibiotic gut microbiomes and their</w:t>
      </w:r>
      <w:r w:rsidR="00741037">
        <w:rPr>
          <w:bCs/>
        </w:rPr>
        <w:t xml:space="preserve"> per-source</w:t>
      </w:r>
      <w:r w:rsidR="00030DC4">
        <w:rPr>
          <w:bCs/>
        </w:rPr>
        <w:t xml:space="preserve"> total fractions.</w:t>
      </w:r>
    </w:p>
    <w:p w14:paraId="0A6EED6F" w14:textId="2E84CCA6" w:rsidR="00030DC4" w:rsidRDefault="00030DC4" w:rsidP="00D300B6">
      <w:pPr>
        <w:rPr>
          <w:bCs/>
        </w:rPr>
      </w:pPr>
    </w:p>
    <w:p w14:paraId="7DA4C470" w14:textId="568D9D46" w:rsidR="004175A7" w:rsidRDefault="007714FD" w:rsidP="004175A7">
      <w:pPr>
        <w:rPr>
          <w:b/>
        </w:rPr>
      </w:pPr>
      <w:r>
        <w:rPr>
          <w:b/>
        </w:rPr>
        <w:t>O</w:t>
      </w:r>
      <w:r w:rsidR="004D7086">
        <w:rPr>
          <w:b/>
        </w:rPr>
        <w:t xml:space="preserve">ral-typical </w:t>
      </w:r>
      <w:r>
        <w:rPr>
          <w:b/>
        </w:rPr>
        <w:t xml:space="preserve">bacterial </w:t>
      </w:r>
      <w:r w:rsidR="004D7086">
        <w:rPr>
          <w:b/>
        </w:rPr>
        <w:t>DNAs</w:t>
      </w:r>
      <w:r w:rsidR="004175A7" w:rsidRPr="00AC26F8">
        <w:rPr>
          <w:b/>
        </w:rPr>
        <w:t xml:space="preserve"> </w:t>
      </w:r>
      <w:r>
        <w:rPr>
          <w:b/>
        </w:rPr>
        <w:t>in</w:t>
      </w:r>
      <w:r w:rsidR="00431CAA">
        <w:rPr>
          <w:b/>
        </w:rPr>
        <w:t xml:space="preserve"> humans</w:t>
      </w:r>
    </w:p>
    <w:p w14:paraId="649F78FE" w14:textId="4AB6FD75" w:rsidR="00794BB9" w:rsidRDefault="004175A7" w:rsidP="00794BB9">
      <w:r>
        <w:t xml:space="preserve">To </w:t>
      </w:r>
      <w:r w:rsidR="00F30A9D">
        <w:t xml:space="preserve">identify </w:t>
      </w:r>
      <w:r w:rsidR="00A77EDA">
        <w:t xml:space="preserve">16S rRNA genes for </w:t>
      </w:r>
      <w:r>
        <w:t xml:space="preserve">oral-typical </w:t>
      </w:r>
      <w:r w:rsidR="002F3388">
        <w:t xml:space="preserve">bacteria </w:t>
      </w:r>
      <w:r w:rsidR="00746594">
        <w:t>colonizing</w:t>
      </w:r>
      <w:r>
        <w:t xml:space="preserve"> humans, we leveraged the Human Microbiome Project (HMP) </w:t>
      </w:r>
      <w:r>
        <w:rPr>
          <w:rFonts w:hint="eastAsia"/>
        </w:rPr>
        <w:t>that</w:t>
      </w:r>
      <w:r>
        <w:t xml:space="preserve"> </w:t>
      </w:r>
      <w:r>
        <w:rPr>
          <w:rFonts w:hint="eastAsia"/>
        </w:rPr>
        <w:t xml:space="preserve">sequenced </w:t>
      </w:r>
      <w:r>
        <w:t xml:space="preserve">paired oral-gut microbiome samples from 237 healthy volunteers </w:t>
      </w:r>
      <w:r>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fldChar w:fldCharType="separate"/>
      </w:r>
      <w:r w:rsidR="002D75C3">
        <w:rPr>
          <w:noProof/>
        </w:rPr>
        <w:t>(The Human Microbiome Project Consortium, 2012)</w:t>
      </w:r>
      <w:r>
        <w:fldChar w:fldCharType="end"/>
      </w:r>
      <w:r>
        <w:t>. Distinct bacterial communities were found inhabiting the two body sites (</w:t>
      </w:r>
      <w:r w:rsidRPr="00BF0367">
        <w:rPr>
          <w:highlight w:val="yellow"/>
        </w:rPr>
        <w:t xml:space="preserve">Fig. </w:t>
      </w:r>
      <w:r w:rsidR="00001774">
        <w:rPr>
          <w:highlight w:val="yellow"/>
        </w:rPr>
        <w:t>3</w:t>
      </w:r>
      <w:r>
        <w:rPr>
          <w:highlight w:val="yellow"/>
        </w:rPr>
        <w:t>A</w:t>
      </w:r>
      <w:r>
        <w:t xml:space="preserve">), which provides the pragmatic basis for </w:t>
      </w:r>
      <w:r w:rsidR="00443C71">
        <w:t>distinguishing oral-</w:t>
      </w:r>
      <w:r>
        <w:t xml:space="preserve">typical </w:t>
      </w:r>
      <w:r w:rsidR="00443C71">
        <w:t>from oral-atypical ASVs</w:t>
      </w:r>
      <w:r>
        <w:t xml:space="preserve">. We adopted a similar </w:t>
      </w:r>
      <w:r w:rsidR="00F92E97">
        <w:t xml:space="preserve">criteria used before </w:t>
      </w:r>
      <w:r>
        <w:fldChar w:fldCharType="begin"/>
      </w:r>
      <w:r w:rsidR="002D75C3">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fldChar w:fldCharType="separate"/>
      </w:r>
      <w:r w:rsidR="002D75C3">
        <w:rPr>
          <w:noProof/>
        </w:rPr>
        <w:t>(Thomas et al., 2019)</w:t>
      </w:r>
      <w:r>
        <w:fldChar w:fldCharType="end"/>
      </w:r>
      <w:r w:rsidR="003002F8">
        <w:t xml:space="preserve"> </w:t>
      </w:r>
      <w:r w:rsidR="00A944FF">
        <w:t>for ASV filtering</w:t>
      </w:r>
      <w:r w:rsidR="00C36E5D">
        <w:t xml:space="preserve">: the </w:t>
      </w:r>
      <w:r w:rsidR="00AB4CE3">
        <w:t xml:space="preserve">mean </w:t>
      </w:r>
      <w:r>
        <w:t xml:space="preserve">relative abundance and prevalence </w:t>
      </w:r>
      <w:r w:rsidR="00C36E5D">
        <w:t>of oral-typical ASVs must be</w:t>
      </w:r>
      <w:r>
        <w:t xml:space="preserve"> greater than</w:t>
      </w:r>
      <w:r>
        <w:rPr>
          <w:rFonts w:hint="eastAsia"/>
        </w:rPr>
        <w:t xml:space="preserve"> </w:t>
      </w:r>
      <w:r>
        <w:t xml:space="preserve">0.01% and 5% respectively </w:t>
      </w:r>
      <w:r w:rsidR="00AB4CE3">
        <w:t>among</w:t>
      </w:r>
      <w:r>
        <w:t xml:space="preserve"> all oral samples</w:t>
      </w:r>
      <w:r w:rsidR="00C36E5D">
        <w:t xml:space="preserve">, </w:t>
      </w:r>
      <w:r w:rsidR="00AB4CE3">
        <w:t xml:space="preserve">and </w:t>
      </w:r>
      <w:r w:rsidR="00680683">
        <w:t xml:space="preserve">no greater than </w:t>
      </w:r>
      <w:r>
        <w:t xml:space="preserve">the same cutoffs </w:t>
      </w:r>
      <w:r w:rsidR="00C0735A">
        <w:t>among</w:t>
      </w:r>
      <w:r>
        <w:t xml:space="preserve"> all fecal samples (</w:t>
      </w:r>
      <w:r w:rsidRPr="00082AB9">
        <w:rPr>
          <w:highlight w:val="yellow"/>
        </w:rPr>
        <w:t>Fig. 2</w:t>
      </w:r>
      <w:r>
        <w:rPr>
          <w:highlight w:val="yellow"/>
        </w:rPr>
        <w:t>B</w:t>
      </w:r>
      <w:r w:rsidRPr="00082AB9">
        <w:rPr>
          <w:highlight w:val="yellow"/>
        </w:rPr>
        <w:t>,</w:t>
      </w:r>
      <w:r>
        <w:rPr>
          <w:highlight w:val="yellow"/>
        </w:rPr>
        <w:t>C</w:t>
      </w:r>
      <w:r>
        <w:t xml:space="preserve">). The </w:t>
      </w:r>
      <w:r w:rsidR="00A306AA">
        <w:t xml:space="preserve">filtering </w:t>
      </w:r>
      <w:r w:rsidR="00A944FF">
        <w:t xml:space="preserve">step </w:t>
      </w:r>
      <w:r w:rsidR="00A306AA">
        <w:t>left</w:t>
      </w:r>
      <w:r>
        <w:t xml:space="preserve"> 178 </w:t>
      </w:r>
      <w:r w:rsidR="008B0E11">
        <w:t>ASVs</w:t>
      </w:r>
      <w:r w:rsidR="007002E9">
        <w:t xml:space="preserve"> </w:t>
      </w:r>
      <w:r>
        <w:t>(</w:t>
      </w:r>
      <w:r w:rsidRPr="00716AC3">
        <w:rPr>
          <w:highlight w:val="yellow"/>
        </w:rPr>
        <w:t>Table S2</w:t>
      </w:r>
      <w:r>
        <w:t>)</w:t>
      </w:r>
      <w:r w:rsidR="00A944FF">
        <w:t xml:space="preserve"> that</w:t>
      </w:r>
      <w:r w:rsidR="009C2746">
        <w:t xml:space="preserve"> belong to a variety of genera </w:t>
      </w:r>
      <w:r>
        <w:t>includ</w:t>
      </w:r>
      <w:r w:rsidR="009C2746">
        <w:t>ing</w:t>
      </w:r>
      <w:r>
        <w:t xml:space="preserve"> </w:t>
      </w:r>
      <w:r w:rsidRPr="00F603A6">
        <w:rPr>
          <w:i/>
          <w:iCs/>
        </w:rPr>
        <w:t>Prevotella</w:t>
      </w:r>
      <w:r>
        <w:t xml:space="preserve">, </w:t>
      </w:r>
      <w:r w:rsidRPr="00F603A6">
        <w:rPr>
          <w:i/>
          <w:iCs/>
        </w:rPr>
        <w:t>Streptococcus</w:t>
      </w:r>
      <w:r>
        <w:t xml:space="preserve">, </w:t>
      </w:r>
      <w:r w:rsidRPr="00F603A6">
        <w:rPr>
          <w:i/>
          <w:iCs/>
        </w:rPr>
        <w:t>L</w:t>
      </w:r>
      <w:r w:rsidR="00B50447">
        <w:rPr>
          <w:i/>
          <w:iCs/>
        </w:rPr>
        <w:t>e</w:t>
      </w:r>
      <w:r w:rsidRPr="00F603A6">
        <w:rPr>
          <w:i/>
          <w:iCs/>
        </w:rPr>
        <w:t>ptotrichia</w:t>
      </w:r>
      <w:r>
        <w:t xml:space="preserve">, and </w:t>
      </w:r>
      <w:r w:rsidRPr="00F603A6">
        <w:rPr>
          <w:i/>
          <w:iCs/>
        </w:rPr>
        <w:t>Haemophil</w:t>
      </w:r>
      <w:r>
        <w:rPr>
          <w:i/>
          <w:iCs/>
        </w:rPr>
        <w:t>u</w:t>
      </w:r>
      <w:r w:rsidRPr="00F603A6">
        <w:rPr>
          <w:i/>
          <w:iCs/>
        </w:rPr>
        <w:t>s</w:t>
      </w:r>
      <w:r>
        <w:rPr>
          <w:i/>
          <w:iCs/>
        </w:rPr>
        <w:t xml:space="preserve"> </w:t>
      </w:r>
      <w:r>
        <w:t>(</w:t>
      </w:r>
      <w:r w:rsidRPr="00656F5D">
        <w:rPr>
          <w:highlight w:val="yellow"/>
        </w:rPr>
        <w:t>Fig. 2D</w:t>
      </w:r>
      <w:r>
        <w:t xml:space="preserve">). Using </w:t>
      </w:r>
      <w:r w:rsidR="00176B7F">
        <w:t>those AS</w:t>
      </w:r>
      <w:r w:rsidR="00A306AA">
        <w:t>Vs as references,</w:t>
      </w:r>
      <w:r w:rsidR="0065484B">
        <w:t xml:space="preserve"> we found that </w:t>
      </w:r>
      <w:r>
        <w:t xml:space="preserve">219 out of 280 </w:t>
      </w:r>
      <w:r w:rsidR="002264C6">
        <w:t xml:space="preserve">HMP </w:t>
      </w:r>
      <w:r>
        <w:t xml:space="preserve">stool samples have undetectable oral-typical ASVs. </w:t>
      </w:r>
      <w:r w:rsidR="002264C6">
        <w:t>Among</w:t>
      </w:r>
      <w:r>
        <w:t xml:space="preserve"> the remaining 61 samples, the </w:t>
      </w:r>
      <w:r w:rsidR="00CD2D09">
        <w:t xml:space="preserve">identified </w:t>
      </w:r>
      <w:r>
        <w:t>oral</w:t>
      </w:r>
      <w:r w:rsidR="00CD2D09">
        <w:t>-typical</w:t>
      </w:r>
      <w:r>
        <w:t xml:space="preserve"> </w:t>
      </w:r>
      <w:r w:rsidR="002264C6">
        <w:t>ASVs</w:t>
      </w:r>
      <w:r>
        <w:t xml:space="preserve"> in 53 samples </w:t>
      </w:r>
      <w:r w:rsidR="002264C6">
        <w:t>were</w:t>
      </w:r>
      <w:r>
        <w:t xml:space="preserve"> </w:t>
      </w:r>
      <w:r w:rsidR="002264C6">
        <w:t xml:space="preserve">all </w:t>
      </w:r>
      <w:r w:rsidR="005F53B2">
        <w:t>present</w:t>
      </w:r>
      <w:r w:rsidR="002264C6">
        <w:t xml:space="preserve"> </w:t>
      </w:r>
      <w:r>
        <w:t xml:space="preserve">in at least one paired oral cavity sample </w:t>
      </w:r>
      <w:r w:rsidR="005F53B2">
        <w:t xml:space="preserve">of the same persons </w:t>
      </w:r>
      <w:r>
        <w:t>(</w:t>
      </w:r>
      <w:r w:rsidRPr="00834783">
        <w:rPr>
          <w:highlight w:val="yellow"/>
        </w:rPr>
        <w:t>Fig. 2E</w:t>
      </w:r>
      <w:r>
        <w:t xml:space="preserve">). The </w:t>
      </w:r>
      <w:r w:rsidR="005F53B2">
        <w:t>average</w:t>
      </w:r>
      <w:r>
        <w:t xml:space="preserve"> total fraction</w:t>
      </w:r>
      <w:r w:rsidR="005F53B2">
        <w:t>s</w:t>
      </w:r>
      <w:r>
        <w:t xml:space="preserve"> of oral-typical bacteria</w:t>
      </w:r>
      <w:r w:rsidR="005F53B2">
        <w:t xml:space="preserve"> in the HMP </w:t>
      </w:r>
      <w:r>
        <w:t>stool samples is as low as 0.05%, which are consistent with</w:t>
      </w:r>
      <w:r w:rsidRPr="00EB3570">
        <w:t xml:space="preserve"> </w:t>
      </w:r>
      <w:r w:rsidR="003C3093">
        <w:t>previous</w:t>
      </w:r>
      <w:r>
        <w:t xml:space="preserve"> literature findings </w:t>
      </w:r>
      <w:r>
        <w:fldChar w:fldCharType="begin"/>
      </w:r>
      <w:r w:rsidR="002D75C3">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fldChar w:fldCharType="separate"/>
      </w:r>
      <w:r w:rsidR="002D75C3">
        <w:rPr>
          <w:noProof/>
        </w:rPr>
        <w:t>(Rashidi</w:t>
      </w:r>
      <w:r w:rsidR="002D75C3" w:rsidRPr="002D75C3">
        <w:rPr>
          <w:i/>
          <w:noProof/>
        </w:rPr>
        <w:t xml:space="preserve"> et al.</w:t>
      </w:r>
      <w:r w:rsidR="002D75C3">
        <w:rPr>
          <w:noProof/>
        </w:rPr>
        <w:t>, 2021; Schmidt</w:t>
      </w:r>
      <w:r w:rsidR="002D75C3" w:rsidRPr="002D75C3">
        <w:rPr>
          <w:i/>
          <w:noProof/>
        </w:rPr>
        <w:t xml:space="preserve"> et al.</w:t>
      </w:r>
      <w:r w:rsidR="002D75C3">
        <w:rPr>
          <w:noProof/>
        </w:rPr>
        <w:t>, 2019)</w:t>
      </w:r>
      <w:r>
        <w:fldChar w:fldCharType="end"/>
      </w:r>
      <w:r w:rsidR="00794BB9">
        <w:t>.</w:t>
      </w:r>
      <w:r w:rsidR="00FA0C19">
        <w:t xml:space="preserve"> </w:t>
      </w:r>
    </w:p>
    <w:p w14:paraId="743A505B" w14:textId="5B948E61" w:rsidR="005D039D" w:rsidRDefault="009A71BC" w:rsidP="007D1B81">
      <w:pPr>
        <w:ind w:firstLine="720"/>
      </w:pPr>
      <w:r>
        <w:t>We next</w:t>
      </w:r>
      <w:r w:rsidR="00D27E49">
        <w:t xml:space="preserve"> show that the </w:t>
      </w:r>
      <w:r w:rsidR="008B33DA">
        <w:t xml:space="preserve">178 </w:t>
      </w:r>
      <w:proofErr w:type="gramStart"/>
      <w:r w:rsidR="00D27E49">
        <w:t>oral-typical</w:t>
      </w:r>
      <w:proofErr w:type="gramEnd"/>
      <w:r w:rsidR="00D27E49">
        <w:t xml:space="preserve"> </w:t>
      </w:r>
      <w:r w:rsidR="00950527">
        <w:t>ASVs identified from healthy people</w:t>
      </w:r>
      <w:r w:rsidR="00AA3222">
        <w:t xml:space="preserve"> </w:t>
      </w:r>
      <w:r w:rsidR="003E791E">
        <w:t xml:space="preserve">in the HMP study </w:t>
      </w:r>
      <w:r w:rsidR="00950527">
        <w:t>can be generalized to patients who might have different oral sequence signatures</w:t>
      </w:r>
      <w:r>
        <w:t xml:space="preserve">. </w:t>
      </w:r>
      <w:r w:rsidR="008B33DA">
        <w:t>To this end, w</w:t>
      </w:r>
      <w:r w:rsidR="00FB7063">
        <w:t>e</w:t>
      </w:r>
      <w:r w:rsidR="008B33DA">
        <w:t xml:space="preserve"> reanalyzed </w:t>
      </w:r>
      <w:r w:rsidR="00950527">
        <w:t xml:space="preserve">paired oral-gut microbiome </w:t>
      </w:r>
      <w:r w:rsidR="008B33DA">
        <w:t>samples</w:t>
      </w:r>
      <w:r w:rsidR="00950527">
        <w:t xml:space="preserve"> from patients with inflammatory bowel disease (IBD)</w:t>
      </w:r>
      <w:r w:rsidR="00AA3222">
        <w:t xml:space="preserve"> and their </w:t>
      </w:r>
      <w:r w:rsidR="001B5F19">
        <w:t xml:space="preserve">own healthy </w:t>
      </w:r>
      <w:r w:rsidR="00AA3222">
        <w:t>controls</w:t>
      </w:r>
      <w:r w:rsidR="00950527">
        <w:t>. The mean total fraction</w:t>
      </w:r>
      <w:r w:rsidR="00AA3222">
        <w:t>s</w:t>
      </w:r>
      <w:r w:rsidR="00950527">
        <w:t xml:space="preserve"> of oral-typical </w:t>
      </w:r>
      <w:r w:rsidR="00AA3222">
        <w:t xml:space="preserve">ASVs </w:t>
      </w:r>
      <w:r w:rsidR="00950527">
        <w:t>in the gut of the</w:t>
      </w:r>
      <w:r w:rsidR="003D6CAA">
        <w:t xml:space="preserve"> </w:t>
      </w:r>
      <w:r w:rsidR="00500C7D">
        <w:t xml:space="preserve">non-IBD </w:t>
      </w:r>
      <w:r w:rsidR="00950527">
        <w:t>healthy controls</w:t>
      </w:r>
      <w:r w:rsidR="00613D61">
        <w:t xml:space="preserve"> </w:t>
      </w:r>
      <w:r w:rsidR="00E2412A">
        <w:t xml:space="preserve">remains low at </w:t>
      </w:r>
      <w:r w:rsidR="00613D61">
        <w:t>1.1%</w:t>
      </w:r>
      <w:r w:rsidR="00E2412A">
        <w:t xml:space="preserve">. </w:t>
      </w:r>
      <w:r w:rsidR="00117A37">
        <w:t xml:space="preserve">As expected </w:t>
      </w:r>
      <w:r w:rsidR="00117A37">
        <w:fldChar w:fldCharType="begin"/>
      </w:r>
      <w:r w:rsidR="00117A37">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117A37">
        <w:fldChar w:fldCharType="separate"/>
      </w:r>
      <w:r w:rsidR="00117A37">
        <w:rPr>
          <w:noProof/>
        </w:rPr>
        <w:t>(Read</w:t>
      </w:r>
      <w:r w:rsidR="00117A37" w:rsidRPr="00117A37">
        <w:rPr>
          <w:i/>
          <w:noProof/>
        </w:rPr>
        <w:t xml:space="preserve"> et al.</w:t>
      </w:r>
      <w:r w:rsidR="00117A37">
        <w:rPr>
          <w:noProof/>
        </w:rPr>
        <w:t>, 2021)</w:t>
      </w:r>
      <w:r w:rsidR="00117A37">
        <w:fldChar w:fldCharType="end"/>
      </w:r>
      <w:r w:rsidR="00E2412A">
        <w:t xml:space="preserve">, the </w:t>
      </w:r>
      <w:r w:rsidR="00143766">
        <w:t xml:space="preserve">total </w:t>
      </w:r>
      <w:r w:rsidR="0065586A">
        <w:t>oral bacterial</w:t>
      </w:r>
      <w:r w:rsidR="00BD48B2">
        <w:t xml:space="preserve"> fractions in the patients with Crohn’s disease (CD) and ulcerative colitis (UC) </w:t>
      </w:r>
      <w:r w:rsidR="0065586A">
        <w:t xml:space="preserve">increased </w:t>
      </w:r>
      <w:r w:rsidR="00117A37">
        <w:t>~4 folds</w:t>
      </w:r>
      <w:r w:rsidR="00143766">
        <w:t xml:space="preserve"> on average</w:t>
      </w:r>
      <w:r w:rsidR="00117A37">
        <w:t xml:space="preserve"> </w:t>
      </w:r>
      <w:r w:rsidR="0065586A">
        <w:t>up to 4.2% and 4.3%</w:t>
      </w:r>
      <w:r w:rsidR="00117A37">
        <w:t xml:space="preserve"> </w:t>
      </w:r>
      <w:r w:rsidR="00BD48B2">
        <w:t xml:space="preserve">respectively. </w:t>
      </w:r>
      <w:r w:rsidR="00456AEC">
        <w:t xml:space="preserve">Among </w:t>
      </w:r>
      <w:r w:rsidR="007D1B81">
        <w:t xml:space="preserve">81 out of </w:t>
      </w:r>
      <w:r w:rsidR="00456AEC">
        <w:t>101 samples,</w:t>
      </w:r>
      <w:r w:rsidR="007D1B81">
        <w:t xml:space="preserve"> the proportions of oral-typical ASVs in the feces that were also present in the paired oral samples </w:t>
      </w:r>
      <w:r w:rsidR="00143766">
        <w:t>were</w:t>
      </w:r>
      <w:r w:rsidR="007D1B81">
        <w:t xml:space="preserve"> </w:t>
      </w:r>
      <w:r w:rsidR="00BD2580">
        <w:t xml:space="preserve">no less than </w:t>
      </w:r>
      <w:r w:rsidR="007D1B81">
        <w:t xml:space="preserve">85%. </w:t>
      </w:r>
      <w:r w:rsidR="00E01F71">
        <w:t xml:space="preserve">Using the </w:t>
      </w:r>
      <w:r w:rsidR="004027EB">
        <w:t xml:space="preserve">same </w:t>
      </w:r>
      <w:r w:rsidR="00E01F71">
        <w:t xml:space="preserve">IBD cohort, we demonstrated that the </w:t>
      </w:r>
      <w:r w:rsidR="00D52788">
        <w:t>estimated</w:t>
      </w:r>
      <w:r w:rsidR="00E01F71">
        <w:t xml:space="preserve"> total fraction</w:t>
      </w:r>
      <w:r w:rsidR="00D52788">
        <w:t>s</w:t>
      </w:r>
      <w:r w:rsidR="00E01F71">
        <w:t xml:space="preserve"> of oral</w:t>
      </w:r>
      <w:r w:rsidR="00D52788">
        <w:t>-</w:t>
      </w:r>
      <w:r w:rsidR="00E01F71">
        <w:t>typica</w:t>
      </w:r>
      <w:r w:rsidR="00D52788">
        <w:t>l</w:t>
      </w:r>
      <w:r w:rsidR="00C369F2">
        <w:t xml:space="preserve"> bacteria</w:t>
      </w:r>
      <w:r w:rsidR="00E01F71">
        <w:t xml:space="preserve"> in th</w:t>
      </w:r>
      <w:r w:rsidR="00C369F2">
        <w:t>e</w:t>
      </w:r>
      <w:r w:rsidR="00E01F71">
        <w:t xml:space="preserve"> feces </w:t>
      </w:r>
      <w:r w:rsidR="00D52788">
        <w:t xml:space="preserve">are robust against the cutoff thresholds </w:t>
      </w:r>
      <w:r w:rsidR="00C369F2">
        <w:t>used to</w:t>
      </w:r>
      <w:r w:rsidR="00D52788">
        <w:t xml:space="preserve"> </w:t>
      </w:r>
      <w:r w:rsidR="005F1321">
        <w:t>filter</w:t>
      </w:r>
      <w:r w:rsidR="00C369F2">
        <w:t xml:space="preserve"> HMP</w:t>
      </w:r>
      <w:r w:rsidR="00E01F71">
        <w:t xml:space="preserve"> (</w:t>
      </w:r>
      <w:r w:rsidR="00E01F71" w:rsidRPr="00B83868">
        <w:rPr>
          <w:highlight w:val="yellow"/>
        </w:rPr>
        <w:t>Fi</w:t>
      </w:r>
      <w:r w:rsidR="00E01F71" w:rsidRPr="005F1321">
        <w:rPr>
          <w:highlight w:val="yellow"/>
        </w:rPr>
        <w:t>g. S</w:t>
      </w:r>
      <w:r w:rsidR="005F1321" w:rsidRPr="005F1321">
        <w:rPr>
          <w:highlight w:val="yellow"/>
        </w:rPr>
        <w:t>5</w:t>
      </w:r>
      <w:r w:rsidR="005F1321">
        <w:t>)</w:t>
      </w:r>
      <w:r w:rsidR="00BD2580">
        <w:t xml:space="preserve">. </w:t>
      </w:r>
      <w:r w:rsidR="00DA3662">
        <w:t xml:space="preserve">These computational tests </w:t>
      </w:r>
      <w:r w:rsidR="00BD2580">
        <w:t xml:space="preserve">suggest that the oral-typical ASVs we compiled from the HMP study can robustly estimate the total fractions of oral-typical bacteria in other </w:t>
      </w:r>
      <w:r w:rsidR="00412918">
        <w:t xml:space="preserve">healthy or </w:t>
      </w:r>
      <w:r w:rsidR="00BD2580">
        <w:t>patient cohorts</w:t>
      </w:r>
      <w:r w:rsidR="00BD48B2">
        <w:t>.</w:t>
      </w:r>
    </w:p>
    <w:p w14:paraId="414DC307" w14:textId="5ADE05E3" w:rsidR="001D5660" w:rsidRDefault="001D5660" w:rsidP="001D5660"/>
    <w:p w14:paraId="1294C629" w14:textId="76CA1C8E" w:rsidR="001D5660" w:rsidRDefault="0043223B" w:rsidP="00AD4A2F">
      <w:pPr>
        <w:jc w:val="center"/>
      </w:pPr>
      <w:r>
        <w:rPr>
          <w:noProof/>
        </w:rPr>
        <w:lastRenderedPageBreak/>
        <w:drawing>
          <wp:inline distT="0" distB="0" distL="0" distR="0" wp14:anchorId="42B66C85" wp14:editId="2680AA0F">
            <wp:extent cx="5435600" cy="30353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stretch>
                      <a:fillRect/>
                    </a:stretch>
                  </pic:blipFill>
                  <pic:spPr>
                    <a:xfrm>
                      <a:off x="0" y="0"/>
                      <a:ext cx="5435600" cy="3035300"/>
                    </a:xfrm>
                    <a:prstGeom prst="rect">
                      <a:avLst/>
                    </a:prstGeom>
                  </pic:spPr>
                </pic:pic>
              </a:graphicData>
            </a:graphic>
          </wp:inline>
        </w:drawing>
      </w:r>
    </w:p>
    <w:p w14:paraId="163B67CD" w14:textId="5CE5B0B4" w:rsidR="001D5660" w:rsidRPr="00AC26F8" w:rsidRDefault="001D5660" w:rsidP="001D5660">
      <w:r w:rsidRPr="00AC26F8">
        <w:rPr>
          <w:b/>
        </w:rPr>
        <w:t xml:space="preserve">Figure </w:t>
      </w:r>
      <w:r w:rsidR="00D963EF">
        <w:rPr>
          <w:b/>
        </w:rPr>
        <w:t>3</w:t>
      </w:r>
      <w:r w:rsidRPr="00AC26F8">
        <w:rPr>
          <w:b/>
        </w:rPr>
        <w:t xml:space="preserve">. </w:t>
      </w:r>
      <w:r w:rsidR="00446545">
        <w:rPr>
          <w:b/>
        </w:rPr>
        <w:t xml:space="preserve">Identification of bacterial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F8546B" w:rsidRPr="00F8546B">
        <w:rPr>
          <w:bCs/>
        </w:rPr>
        <w:t>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(tSNE)</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The average relative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the stool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in orange (s</w:t>
      </w:r>
      <w:r w:rsidR="00986BBD">
        <w:t xml:space="preserve">ee </w:t>
      </w:r>
      <w:r w:rsidR="00695FA0">
        <w:t xml:space="preserve">the main text or </w:t>
      </w:r>
      <w:r w:rsidR="005B7EAD" w:rsidRPr="002E402E">
        <w:rPr>
          <w:highlight w:val="yellow"/>
        </w:rPr>
        <w:t>STAR methods</w:t>
      </w:r>
      <w:r w:rsidR="00E20A2D">
        <w:t xml:space="preserve"> for </w:t>
      </w:r>
      <w:r w:rsidR="00695FA0">
        <w:t>the filtering criteria</w:t>
      </w:r>
      <w:r w:rsidR="00E20A2D">
        <w:t xml:space="preserv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E9388D">
        <w:rPr>
          <w:b/>
          <w:bCs/>
        </w:rPr>
        <w:t>, F</w:t>
      </w:r>
      <w:r w:rsidR="00E9388D">
        <w:t xml:space="preserve">) </w:t>
      </w:r>
      <w:r w:rsidR="00F1368F">
        <w:t xml:space="preserve">The </w:t>
      </w:r>
      <w:r w:rsidR="00C91B5A">
        <w:t xml:space="preserve">total </w:t>
      </w:r>
      <w:r w:rsidR="006704E6">
        <w:t xml:space="preserve">fractions of oral-typical ASVs in the </w:t>
      </w:r>
      <w:r w:rsidR="000E652C">
        <w:t xml:space="preserve">human </w:t>
      </w:r>
      <w:r w:rsidR="00A62EDF">
        <w:t>fec</w:t>
      </w:r>
      <w:r w:rsidR="0010660F">
        <w:t>al samples (circles)</w:t>
      </w:r>
      <w:r w:rsidR="009855D1">
        <w:t xml:space="preserve"> and their proportions present in the paired oral samples</w:t>
      </w:r>
      <w:r w:rsidR="000E652C">
        <w:t>. (E) H</w:t>
      </w:r>
      <w:r w:rsidR="00A62EDF">
        <w:t xml:space="preserve">ealthy </w:t>
      </w:r>
      <w:r w:rsidR="000E652C">
        <w:t>individuals</w:t>
      </w:r>
      <w:r w:rsidR="00A62EDF">
        <w:t xml:space="preserve"> </w:t>
      </w:r>
      <w:r w:rsidR="000E652C">
        <w:t xml:space="preserve">in </w:t>
      </w:r>
      <w:r w:rsidR="007048C7">
        <w:t xml:space="preserve">HMP. </w:t>
      </w:r>
      <w:r w:rsidR="006704E6">
        <w:t>(</w:t>
      </w:r>
      <w:r w:rsidR="007048C7">
        <w:t>F</w:t>
      </w:r>
      <w:r w:rsidR="006704E6">
        <w:t>)</w:t>
      </w:r>
      <w:r w:rsidR="007048C7">
        <w:t xml:space="preserve"> P</w:t>
      </w:r>
      <w:r w:rsidR="0019290D">
        <w:t>atients with inflammatory bowel disease</w:t>
      </w:r>
      <w:r w:rsidR="000E652C">
        <w:t xml:space="preserve"> </w:t>
      </w:r>
      <w:r w:rsidR="007048C7">
        <w:t>and</w:t>
      </w:r>
      <w:r w:rsidR="000E652C">
        <w:t xml:space="preserve"> their own healthy controls</w:t>
      </w:r>
      <w:r w:rsidR="00B91C51">
        <w:t xml:space="preserve"> (n=101)</w:t>
      </w:r>
      <w:r w:rsidR="0019290D">
        <w:t xml:space="preserve"> (</w:t>
      </w:r>
      <w:r w:rsidR="001F1DA6">
        <w:t>F</w:t>
      </w:r>
      <w:r w:rsidR="006704E6">
        <w:t>).</w:t>
      </w:r>
      <w:r w:rsidR="00BE210A">
        <w:t xml:space="preserve"> </w:t>
      </w:r>
      <w:r w:rsidR="00F61DA4">
        <w:t xml:space="preserve">HC: healthy control; CD: Crohn’s disease; UC: </w:t>
      </w:r>
      <w:r w:rsidR="00DD1EA6">
        <w:t>u</w:t>
      </w:r>
      <w:r w:rsidR="00F61DA4">
        <w:t>lcerative colitis.</w:t>
      </w:r>
      <w:r w:rsidR="00053D73">
        <w:t xml:space="preserve"> Data sources: </w:t>
      </w:r>
      <w:r w:rsidR="00A720F3">
        <w:t xml:space="preserve">panel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xml:space="preserve">; panel F </w:t>
      </w:r>
      <w:r w:rsidR="00A720F3">
        <w:fldChar w:fldCharType="begin"/>
      </w:r>
      <w:r w:rsidR="002D75C3">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2D75C3">
        <w:rPr>
          <w:noProof/>
        </w:rPr>
        <w:t>(Imai et al., 2021)</w:t>
      </w:r>
      <w:r w:rsidR="00A720F3">
        <w:fldChar w:fldCharType="end"/>
      </w:r>
      <w:r w:rsidR="00A720F3">
        <w:t>.</w:t>
      </w:r>
    </w:p>
    <w:p w14:paraId="5CB8AE20" w14:textId="77777777" w:rsidR="001D26BB" w:rsidRDefault="001D26BB" w:rsidP="001D26BB">
      <w:pPr>
        <w:rPr>
          <w:b/>
        </w:rPr>
      </w:pPr>
    </w:p>
    <w:p w14:paraId="0678ABC7" w14:textId="041BDD31" w:rsidR="0068634C" w:rsidRPr="00AC26F8" w:rsidRDefault="0071532B" w:rsidP="001D26BB">
      <w:pPr>
        <w:rPr>
          <w:b/>
        </w:rPr>
      </w:pPr>
      <w:r>
        <w:rPr>
          <w:b/>
        </w:rPr>
        <w:t>Validation of</w:t>
      </w:r>
      <w:r w:rsidR="0068634C">
        <w:rPr>
          <w:b/>
        </w:rPr>
        <w:t xml:space="preserve"> maker hypothesis in </w:t>
      </w:r>
      <w:r w:rsidR="00192E13">
        <w:rPr>
          <w:b/>
        </w:rPr>
        <w:t>patients receiving antibiotic prophylaxis</w:t>
      </w:r>
    </w:p>
    <w:p w14:paraId="14A3C13A" w14:textId="0A2BA809" w:rsidR="00A159F6" w:rsidRPr="00AC26F8" w:rsidRDefault="00022178" w:rsidP="003B4FC3">
      <w:r>
        <w:t xml:space="preserve">Allogeneic hematopoietic cell transplantation (allo-HCT) is the only potentially curative therapy for </w:t>
      </w:r>
      <w:r w:rsidR="00D7317C">
        <w:t xml:space="preserve">patients with </w:t>
      </w:r>
      <w:r>
        <w:t>malignant hematopoietic disorders.</w:t>
      </w:r>
      <w:r w:rsidR="00D7317C">
        <w:t xml:space="preserve"> </w:t>
      </w:r>
      <w:r w:rsidR="009231F6">
        <w:t xml:space="preserve">The </w:t>
      </w:r>
      <w:r w:rsidR="00557E74" w:rsidRPr="00AC26F8">
        <w:t xml:space="preserve">initial conditioning regimen (e.g., chemo- or </w:t>
      </w:r>
      <w:proofErr w:type="gramStart"/>
      <w:r w:rsidR="00557E74" w:rsidRPr="00AC26F8">
        <w:t>radio-therapy</w:t>
      </w:r>
      <w:proofErr w:type="gramEnd"/>
      <w:r w:rsidR="00557E74" w:rsidRPr="00AC26F8">
        <w:t xml:space="preserve">) </w:t>
      </w:r>
      <w:r w:rsidR="009231F6">
        <w:t>depletes malignant and healthy hematopoietic cells</w:t>
      </w:r>
      <w:r w:rsidR="0093081A">
        <w:t xml:space="preserve">, weakens the immune system, and receive antimicrobial prophylaxis to avoid infections. The antibiotic adminsitraiton were found to </w:t>
      </w:r>
      <w:r w:rsidR="00557E74" w:rsidRPr="00AC26F8">
        <w:t>cause</w:t>
      </w:r>
      <w:r w:rsidR="0093081A">
        <w:t xml:space="preserve"> intestinal epithelial tissue damage and</w:t>
      </w:r>
      <w:r w:rsidR="00557E74" w:rsidRPr="00AC26F8">
        <w:t xml:space="preserve"> marked loss of bacterial diversity and compositi</w:t>
      </w:r>
      <w:r w:rsidR="0093081A">
        <w:t xml:space="preserve">tional. In the allo-HCT recipients from MSKCC, </w:t>
      </w:r>
      <w:r w:rsidR="000C777F">
        <w:t>t</w:t>
      </w:r>
      <w:r w:rsidR="00A159F6" w:rsidRPr="00AC26F8">
        <w:t xml:space="preserve">he remaining 45% of samples were dominated by ectopic bacteria, including 18% of samples that were highly abundant in oral bacterial genera such as </w:t>
      </w:r>
      <w:r w:rsidR="00A159F6" w:rsidRPr="00AC26F8">
        <w:rPr>
          <w:i/>
        </w:rPr>
        <w:t>Streptococcus</w:t>
      </w:r>
      <w:r w:rsidR="00A159F6" w:rsidRPr="00AC26F8">
        <w:t xml:space="preserve"> and </w:t>
      </w:r>
      <w:r w:rsidR="00A159F6" w:rsidRPr="00AC26F8">
        <w:rPr>
          <w:i/>
        </w:rPr>
        <w:t>Actinomyces</w:t>
      </w:r>
      <w:r w:rsidR="00A159F6" w:rsidRPr="00AC26F8">
        <w:t xml:space="preserve"> (</w:t>
      </w:r>
      <w:r w:rsidR="00A159F6" w:rsidRPr="00AC26F8">
        <w:rPr>
          <w:b/>
        </w:rPr>
        <w:t>Fig. 3A</w:t>
      </w:r>
      <w:r w:rsidR="00A159F6" w:rsidRPr="00AC26F8">
        <w:t>). By co-occurrence analysis, we found 32 distinct combinations of oral bacterial ASVs that co-occurred in feces more than expected by chance (</w:t>
      </w:r>
      <w:r w:rsidR="00A159F6" w:rsidRPr="00AC26F8">
        <w:rPr>
          <w:b/>
        </w:rPr>
        <w:t>Table S</w:t>
      </w:r>
      <w:r w:rsidR="0093081A">
        <w:rPr>
          <w:b/>
        </w:rPr>
        <w:t>3</w:t>
      </w:r>
      <w:r w:rsidR="00A159F6" w:rsidRPr="00AC26F8">
        <w:t>), supporting that the fecal enrichment of oral bacteria in these allo-HCT patients is driven by their collective transmission from oral to gut.</w:t>
      </w:r>
    </w:p>
    <w:p w14:paraId="693887FD" w14:textId="77777777" w:rsidR="00A159F6" w:rsidRPr="00AC26F8" w:rsidRDefault="00A159F6" w:rsidP="00A159F6">
      <w:pPr>
        <w:ind w:firstLine="720"/>
      </w:pPr>
      <w:r w:rsidRPr="00AC26F8">
        <w:t>The relative abundance of oral bacteria in these fecal samples was bimodally distributed (</w:t>
      </w:r>
      <w:r w:rsidRPr="00AC26F8">
        <w:rPr>
          <w:b/>
        </w:rPr>
        <w:t>Fig. 3B</w:t>
      </w:r>
      <w:r w:rsidRPr="00AC26F8">
        <w:t>), which is consistent with our model prediction (</w:t>
      </w:r>
      <w:r w:rsidRPr="00AC26F8">
        <w:rPr>
          <w:b/>
        </w:rPr>
        <w:t>Fig. 1C</w:t>
      </w:r>
      <w:r w:rsidRPr="00AC26F8">
        <w:t xml:space="preserve">). The distribution was heavily skewed toward 0, but 383 samples from 182 unique patients were composed of </w:t>
      </w:r>
      <m:oMath>
        <m:r>
          <w:rPr>
            <w:rFonts w:ascii="Cambria Math" w:hAnsi="Cambria Math"/>
          </w:rPr>
          <m:t>≥</m:t>
        </m:r>
      </m:oMath>
      <w:r w:rsidRPr="00AC26F8">
        <w:t>95% oral bacteria. Even single bacterial ASVs (</w:t>
      </w:r>
      <w:r w:rsidRPr="00AC26F8">
        <w:rPr>
          <w:b/>
        </w:rPr>
        <w:t>Fig. S2C</w:t>
      </w:r>
      <w:r w:rsidRPr="00AC26F8">
        <w:rPr>
          <w:rFonts w:eastAsia="Arial Unicode MS"/>
        </w:rPr>
        <w:t xml:space="preserve">) could dominate these samples by ≥30%, with </w:t>
      </w:r>
      <w:r w:rsidRPr="00AC26F8">
        <w:rPr>
          <w:rFonts w:eastAsia="Arial Unicode MS"/>
        </w:rPr>
        <w:lastRenderedPageBreak/>
        <w:t xml:space="preserve">dominations of </w:t>
      </w:r>
      <w:r w:rsidRPr="00AC26F8">
        <w:rPr>
          <w:i/>
        </w:rPr>
        <w:t>Streptococcus</w:t>
      </w:r>
      <w:r w:rsidRPr="00AC26F8">
        <w:t xml:space="preserve"> (ASV8 and ASV16) among the most frequent domination states. Shotgun-sequenced samples showed that the two ASVs contained a variety of </w:t>
      </w:r>
      <w:r w:rsidRPr="00AC26F8">
        <w:rPr>
          <w:i/>
        </w:rPr>
        <w:t>Streptococcus</w:t>
      </w:r>
      <w:r w:rsidRPr="00AC26F8">
        <w:t xml:space="preserve"> species, mostly </w:t>
      </w:r>
      <w:r w:rsidRPr="00AC26F8">
        <w:rPr>
          <w:i/>
        </w:rPr>
        <w:t>S. thermophilus</w:t>
      </w:r>
      <w:r w:rsidRPr="00AC26F8">
        <w:t xml:space="preserve">. Some of these </w:t>
      </w:r>
      <w:r w:rsidRPr="00AC26F8">
        <w:rPr>
          <w:i/>
        </w:rPr>
        <w:t>Streptococci</w:t>
      </w:r>
      <w:r w:rsidRPr="00AC26F8">
        <w:t xml:space="preserve"> could be alive and replicating in the fecal sample, as evidenced by peak-to-trough ratio (i.e., the ratio of reads mapped to oriC to terminus) calculated by iRep </w:t>
      </w:r>
      <w:r w:rsidRPr="00AC26F8">
        <w:fldChar w:fldCharType="begin"/>
      </w:r>
      <w:r w:rsidRPr="00AC26F8">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fldChar w:fldCharType="separate"/>
      </w:r>
      <w:r w:rsidRPr="00AC26F8">
        <w:t>(Brown et al., 2016)</w:t>
      </w:r>
      <w:r w:rsidRPr="00AC26F8">
        <w:fldChar w:fldCharType="end"/>
      </w:r>
      <w:r w:rsidRPr="00AC26F8">
        <w:t xml:space="preserve"> analysis (</w:t>
      </w:r>
      <w:r w:rsidRPr="00AC26F8">
        <w:rPr>
          <w:b/>
        </w:rPr>
        <w:t>Table S2</w:t>
      </w:r>
      <w:r w:rsidRPr="00AC26F8">
        <w:t>).</w:t>
      </w:r>
    </w:p>
    <w:p w14:paraId="38C5DE69" w14:textId="77777777" w:rsidR="00A159F6" w:rsidRPr="00AC26F8" w:rsidRDefault="00A159F6" w:rsidP="00A159F6">
      <w:pPr>
        <w:ind w:firstLine="720"/>
      </w:pPr>
      <w:r w:rsidRPr="00AC26F8">
        <w:t>To validate the proposed quantitative relationship (</w:t>
      </w:r>
      <w:r w:rsidRPr="00AC26F8">
        <w:rPr>
          <w:b/>
          <w:bCs/>
        </w:rPr>
        <w:t>Fig. 1D</w:t>
      </w:r>
      <w:r w:rsidRPr="00AC26F8">
        <w:t xml:space="preserve">), we measured the total bacterial density in the feces (16S rRNA copies per gram of feces) by qPCR </w:t>
      </w:r>
      <w:r w:rsidRPr="00AC26F8">
        <w:fldChar w:fldCharType="begin"/>
      </w:r>
      <w:r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Pr="00AC26F8">
        <w:fldChar w:fldCharType="separate"/>
      </w:r>
      <w:r w:rsidRPr="00AC26F8">
        <w:t>(Liao et al., 2021)</w:t>
      </w:r>
      <w:r w:rsidRPr="00AC26F8">
        <w:fldChar w:fldCharType="end"/>
      </w:r>
      <w:r w:rsidRPr="00AC26F8">
        <w:t>. The timing of antibacterial prophylaxis (</w:t>
      </w:r>
      <w:r w:rsidRPr="00AC26F8">
        <w:rPr>
          <w:b/>
        </w:rPr>
        <w:t>Fig. 3C</w:t>
      </w:r>
      <w:r w:rsidRPr="00AC26F8">
        <w:t>, lower panel) corresponded to the period in which gut-resident bacteria declined in both relative (upper panel) and absolute (middle panel) abundances. Consistent with our model prediction, the mean absolute abundance of oral bacteria (both habitat 1 and 2) remained constant despite antibiotic exposure, explaining their increased relative abundances (</w:t>
      </w:r>
      <w:r w:rsidRPr="00AC26F8">
        <w:rPr>
          <w:b/>
        </w:rPr>
        <w:t>Fig. 3C</w:t>
      </w:r>
      <w:r w:rsidRPr="00AC26F8">
        <w:t xml:space="preserve">). As a result, the proportion of bacteria from oral habitats 1 and 2 had the strongest negative correlations with the total bacterial density (Slope=-0.34 and -0.39, </w:t>
      </w:r>
      <w:r w:rsidRPr="00AC26F8">
        <w:rPr>
          <w:i/>
        </w:rPr>
        <w:t>P</w:t>
      </w:r>
      <w:r w:rsidRPr="00AC26F8">
        <w:t>&lt;0.001) among all five habitats (</w:t>
      </w:r>
      <w:r w:rsidRPr="00AC26F8">
        <w:rPr>
          <w:b/>
        </w:rPr>
        <w:t>Fig. S3A-E</w:t>
      </w:r>
      <w:r w:rsidRPr="00AC26F8">
        <w:t xml:space="preserve">). When combined, the two oral populations showed an even stronger association (Slope=-0.49, </w:t>
      </w:r>
      <w:r w:rsidRPr="00AC26F8">
        <w:rPr>
          <w:i/>
        </w:rPr>
        <w:t>P</w:t>
      </w:r>
      <w:r w:rsidRPr="00AC26F8">
        <w:t xml:space="preserve">&lt;0.001; </w:t>
      </w:r>
      <w:r w:rsidRPr="00AC26F8">
        <w:rPr>
          <w:b/>
        </w:rPr>
        <w:t>Fig. 3D</w:t>
      </w:r>
      <w:r w:rsidRPr="00AC26F8">
        <w:rPr>
          <w:bCs/>
        </w:rPr>
        <w:t>, bottom row</w:t>
      </w:r>
      <w:r w:rsidRPr="00AC26F8">
        <w:t>). We determined 3.4% as the threshold percentage of oral bacteria in feces above which the linear fitting is nearly optimal (middle row) and the best-fit slope matches the predicted value -1 (top row). This threshold delineates the dynamic range of our model: the negative association becomes less apparent or even obscured by noise at oral bacteria fraction below this threshold.</w:t>
      </w:r>
    </w:p>
    <w:p w14:paraId="009EA813" w14:textId="77777777" w:rsidR="00A00A4E" w:rsidRPr="00AC26F8" w:rsidRDefault="00A00A4E" w:rsidP="00A00A4E"/>
    <w:p w14:paraId="7A1BFB74" w14:textId="77777777" w:rsidR="0095166F" w:rsidRPr="00AC26F8" w:rsidRDefault="0095166F" w:rsidP="00A00A4E">
      <w:pPr>
        <w:rPr>
          <w:b/>
        </w:rPr>
      </w:pPr>
    </w:p>
    <w:p w14:paraId="05BD03BD" w14:textId="77777777" w:rsidR="0015189C" w:rsidRPr="00AC26F8" w:rsidRDefault="0015189C" w:rsidP="00A00A4E">
      <w:pPr>
        <w:rPr>
          <w:b/>
        </w:rPr>
      </w:pPr>
      <w:r w:rsidRPr="00AC26F8">
        <w:rPr>
          <w:b/>
        </w:rPr>
        <w:t>Theoretical population ecology model</w:t>
      </w:r>
    </w:p>
    <w:p w14:paraId="09027293" w14:textId="2ACC076E" w:rsidR="00D42550" w:rsidRPr="00AC26F8" w:rsidRDefault="0015189C" w:rsidP="00A00A4E">
      <w:pPr>
        <w:widowControl w:val="0"/>
        <w:autoSpaceDE w:val="0"/>
        <w:autoSpaceDN w:val="0"/>
        <w:adjustRightInd w:val="0"/>
        <w:rPr>
          <w:noProof/>
        </w:rPr>
      </w:pPr>
      <w:r w:rsidRPr="00AC26F8">
        <w:t>The human gut lumen is an ecosystem with rhythmic food intake and fecal excretion</w:t>
      </w:r>
      <w:r w:rsidR="005A69D2" w:rsidRPr="00AC26F8">
        <w:t xml:space="preserve"> </w:t>
      </w:r>
      <w:r w:rsidRPr="00AC26F8">
        <w:fldChar w:fldCharType="begin"/>
      </w:r>
      <w:r w:rsidR="00D42550" w:rsidRPr="00AC26F8">
        <w:instrText>ADDIN F1000_CSL_CITATION&lt;~#@#~&gt;[{"DOI":"10.1038/s41396-018-0222-x","First":false,"Last":false,"PMCID":"PMC6246551","PMID":"30022156","abstract":"Experimental studies of microbial communities routinely reveal that they have multiple stable states. While each of these states is generally resilient, certain perturbations such as antibiotics, probiotics, and diet shifts, result in transitions to other states. Can we reliably both predict such stable states as well as direct and control transitions between them? Here we present a new conceptual model-inspired by the stable marriage problem in game theory and economics-in which microbial communities naturally exhibit multiple stable states, each state with a different species' abundance profile. Our model's core ingredient is that microbes utilize nutrients one at a time while competing with each other. Using only two ranked tables, one with microbes' nutrient preferences and one with their competitive abilities, we can determine all possible stable states as well as predict inter-state transitions, triggered by the removal or addition of a specific nutrient or microbe. Further, using an example of seven Bacteroides species common to the human gut utilizing nine polysaccharides, we predict that mutual complementarity in nutrient preferences enables these species to coexist at high abundances.","author":[{"family":"Goyal","given":"Akshit"},{"family":"Dubinkina","given":"Veronika"},{"family":"Maslov","given":"Sergei"}],"authorYearDisplayFormat":false,"citation-label":"6049320","container-title":"The ISME Journal","container-title-short":"ISME J.","id":"6049320","invisible":false,"issue":"12","issued":{"date-parts":[["2018","12"]]},"journalAbbreviation":"ISME J.","page":"2823-2834","suppress-author":false,"title":"Multiple stable states in microbial communities explained by the stable marriage problem.","type":"article-journal","volume":"12"}]</w:instrText>
      </w:r>
      <w:r w:rsidRPr="00AC26F8">
        <w:fldChar w:fldCharType="separate"/>
      </w:r>
      <w:r w:rsidR="00D42550" w:rsidRPr="00AC26F8">
        <w:t>(Goyal et al., 2018)</w:t>
      </w:r>
      <w:r w:rsidRPr="00AC26F8">
        <w:fldChar w:fldCharType="end"/>
      </w:r>
      <w:r w:rsidRPr="00AC26F8">
        <w:t>. Assuming the transient ecological dynamics induced by these cyclic events have short time scales, we approximated its long-term dynamics and quasi-steady state by a continuous, coarse-grained model of oral-derived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oMath>
      <w:r w:rsidRPr="00AC26F8">
        <w:t>]) and gut-resident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oMath>
      <w:r w:rsidRPr="00AC26F8">
        <w:t>]) bacteria (</w:t>
      </w:r>
      <w:r w:rsidRPr="00AC26F8">
        <w:rPr>
          <w:b/>
        </w:rPr>
        <w:t>Fig. 1</w:t>
      </w:r>
      <w:r w:rsidR="005644C7" w:rsidRPr="00AC26F8">
        <w:rPr>
          <w:b/>
        </w:rPr>
        <w:t>A</w:t>
      </w:r>
      <w:r w:rsidRPr="00AC26F8">
        <w:rPr>
          <w:bCs/>
        </w:rPr>
        <w:t>)</w:t>
      </w:r>
      <w:r w:rsidRPr="00AC26F8">
        <w:fldChar w:fldCharType="begin"/>
      </w:r>
      <w:r w:rsidR="00D42550" w:rsidRPr="00AC26F8">
        <w:instrText>ADDIN F1000_CSL_BIBLIOGRAPHY</w:instrText>
      </w:r>
      <w:r w:rsidRPr="00AC26F8">
        <w:fldChar w:fldCharType="separate"/>
      </w:r>
    </w:p>
    <w:p w14:paraId="5BA9404C" w14:textId="3DF23104" w:rsidR="0015189C" w:rsidRPr="00AC26F8" w:rsidRDefault="0015189C" w:rsidP="00A00A4E">
      <w:pPr>
        <w:widowControl w:val="0"/>
        <w:autoSpaceDE w:val="0"/>
        <w:autoSpaceDN w:val="0"/>
        <w:adjustRightInd w:val="0"/>
        <w:ind w:left="1440" w:firstLine="720"/>
      </w:pPr>
      <w:r w:rsidRPr="00AC26F8">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r>
          <w:rPr>
            <w:rFonts w:ascii="Cambria Math" w:hAnsi="Cambria Math"/>
          </w:rPr>
          <m:t>ϵ</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rsidRPr="00AC26F8">
        <w:tab/>
      </w:r>
      <w:r w:rsidRPr="00AC26F8">
        <w:tab/>
      </w:r>
      <w:r w:rsidRPr="00AC26F8">
        <w:tab/>
        <w:t>Eq. (1)</w:t>
      </w:r>
    </w:p>
    <w:p w14:paraId="07148326" w14:textId="77777777" w:rsidR="0015189C" w:rsidRPr="00AC26F8" w:rsidRDefault="0015189C" w:rsidP="00A00A4E">
      <w:r w:rsidRPr="00AC26F8">
        <w:tab/>
      </w:r>
      <w:r w:rsidRPr="00AC26F8">
        <w:tab/>
      </w:r>
      <w:r w:rsidRPr="00AC26F8">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r>
          <w:rPr>
            <w:rFonts w:ascii="Cambria Math" w:hAnsi="Cambria Math"/>
          </w:rPr>
          <m:t>ϵ</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rsidRPr="00AC26F8">
        <w:tab/>
      </w:r>
      <w:r w:rsidRPr="00AC26F8">
        <w:tab/>
      </w:r>
      <w:r w:rsidRPr="00AC26F8">
        <w:tab/>
      </w:r>
      <w:r w:rsidRPr="00AC26F8">
        <w:tab/>
        <w:t>Eq. (2)</w:t>
      </w:r>
    </w:p>
    <w:p w14:paraId="46572826" w14:textId="77777777" w:rsidR="00345AD6" w:rsidRPr="00AC26F8" w:rsidRDefault="0015189C" w:rsidP="00A00A4E">
      <w:r w:rsidRPr="00AC26F8">
        <w:t xml:space="preserve">Here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is the oral-gut transmission rate due to saliva, </w:t>
      </w:r>
      <w:r w:rsidR="00BE1354" w:rsidRPr="00AC26F8">
        <w:t>food,</w:t>
      </w:r>
      <w:r w:rsidRPr="00AC26F8">
        <w:t xml:space="preserve"> and liquid intake, </w:t>
      </w:r>
      <m:oMath>
        <m:r>
          <w:rPr>
            <w:rFonts w:ascii="Cambria Math" w:hAnsi="Cambria Math"/>
          </w:rPr>
          <m:t>D</m:t>
        </m:r>
      </m:oMath>
      <w:r w:rsidRPr="00AC26F8">
        <w:t xml:space="preserve"> is the fecal excretion rate constant, </w:t>
      </w:r>
      <m:oMath>
        <m:sSub>
          <m:sSubPr>
            <m:ctrlPr>
              <w:rPr>
                <w:rFonts w:ascii="Cambria Math" w:hAnsi="Cambria Math"/>
              </w:rPr>
            </m:ctrlPr>
          </m:sSubPr>
          <m:e>
            <m:r>
              <w:rPr>
                <w:rFonts w:ascii="Cambria Math" w:hAnsi="Cambria Math"/>
              </w:rPr>
              <m:t>K</m:t>
            </m:r>
          </m:e>
          <m:sub>
            <m:r>
              <w:rPr>
                <w:rFonts w:ascii="Cambria Math" w:hAnsi="Cambria Math"/>
              </w:rPr>
              <m:t>o</m:t>
            </m:r>
          </m:sub>
        </m:sSub>
      </m:oMath>
      <w:r w:rsidRPr="00AC26F8">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rsidRPr="00AC26F8">
        <w:t xml:space="preserve">are the host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rsidRPr="00AC26F8">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rsidRPr="00AC26F8">
        <w:t xml:space="preserve"> are the maximum growth rates as a proxy of population fitness. Our model focuses on antibiotic perturbations—the major disruptor of gut microbiome</w:t>
      </w:r>
      <w:r w:rsidR="005644C7" w:rsidRPr="00AC26F8">
        <w:t xml:space="preserve"> </w:t>
      </w:r>
      <w:r w:rsidRPr="00AC26F8">
        <w:fldChar w:fldCharType="begin"/>
      </w:r>
      <w:r w:rsidR="00D42550" w:rsidRPr="00AC26F8">
        <w:instrText>ADDIN F1000_CSL_CITATION&lt;~#@#~&gt;[{"DOI":"10.3389/fcimb.2020.572912","First":false,"Last":false,"PMCID":"PMC7732679","PMID":"33330122","abstract":"Advances in culture-independent research techniques have led to an increased understanding of the gut microbiota and the role it plays in health and disease. The intestine is populated by a complex microbial community that is organized around a network of metabolic interdependencies. It is now understood that the gut microbiota is vital for normal development and functioning of the human body, especially for the priming and maturation of the adaptive immune system. Antibiotic use can have several negative effects on the gut microbiota, including reduced species diversity, altered metabolic activity, and the selection of antibiotic-resistant organisms, which in turn can lead to antibiotic-associated diarrhea and recurrent Clostridioides difficile infections. There is also evidence that early childhood exposure to antibiotics can lead to several gastrointestinal, immunologic, and neurocognitive conditions. The increase in the use of antibiotics in recent years suggests that these problems are likely to become more acute or more prevalent in the future. Continued research into the structure and function of the gut microbiota is required to address this challenge.&lt;br&gt;&lt;br&gt;Copyright © 2020 Ramirez, Guarner, Bustos Fernandez, Maruy, Sdepanian and Cohen.","author":[{"family":"Ramirez","given":"Jaime"},{"family":"Guarner","given":"Francisco"},{"family":"Bustos Fernandez","given":"Luis"},{"family":"Maruy","given":"Aldo"},{"family":"Sdepanian","given":"Vera Lucia"},{"family":"Cohen","given":"Henry"}],"authorYearDisplayFormat":false,"citation-label":"10209797","container-title":"Frontiers in cellular and infection microbiology","container-title-short":"Front. Cell. Infect. Microbiol.","id":"10209797","invisible":false,"issued":{"date-parts":[["2020","11","24"]]},"journalAbbreviation":"Front. Cell. Infect. Microbiol.","page":"572912","suppress-author":false,"title":"Antibiotics as major disruptors of gut microbiota.","type":"article-journal","volume":"10"}]</w:instrText>
      </w:r>
      <w:r w:rsidRPr="00AC26F8">
        <w:fldChar w:fldCharType="separate"/>
      </w:r>
      <w:r w:rsidR="00D42550" w:rsidRPr="00AC26F8">
        <w:rPr>
          <w:noProof/>
        </w:rPr>
        <w:t>(Ramirez et al., 2020)</w:t>
      </w:r>
      <w:r w:rsidRPr="00AC26F8">
        <w:fldChar w:fldCharType="end"/>
      </w:r>
      <w:r w:rsidRPr="00AC26F8">
        <w:t xml:space="preserve">—and </w:t>
      </w:r>
      <m:oMath>
        <m:r>
          <w:rPr>
            <w:rFonts w:ascii="Cambria Math" w:hAnsi="Cambria Math"/>
          </w:rPr>
          <m:t>ϵ</m:t>
        </m:r>
      </m:oMath>
      <w:r w:rsidRPr="00AC26F8">
        <w:t xml:space="preserve"> represents the impacts of antibiotics on the fitness of both types of bacteria.</w:t>
      </w:r>
    </w:p>
    <w:p w14:paraId="1A3D62DC" w14:textId="58C43417" w:rsidR="0015189C" w:rsidRPr="00AC26F8" w:rsidRDefault="0015189C" w:rsidP="00A00A4E">
      <w:pPr>
        <w:ind w:firstLine="720"/>
      </w:pPr>
      <w:r w:rsidRPr="00AC26F8">
        <w:t>The model makes two predictions on the fraction of oral bacteria in feces (</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den>
        </m:f>
      </m:oMath>
      <w:r w:rsidRPr="00AC26F8">
        <w:t xml:space="preserve">) at steady state. First, its value changes abruptly from low (nearly absent) to high (very abundant) when the perturbation </w:t>
      </w:r>
      <m:oMath>
        <m:r>
          <w:rPr>
            <w:rFonts w:ascii="Cambria Math" w:hAnsi="Cambria Math"/>
          </w:rPr>
          <m:t>ϵ</m:t>
        </m:r>
      </m:oMath>
      <w:r w:rsidRPr="00AC26F8">
        <w:t xml:space="preserve"> exceeds a threshold (</w:t>
      </w:r>
      <w:r w:rsidRPr="00AC26F8">
        <w:rPr>
          <w:b/>
        </w:rPr>
        <w:t>Fig. 1</w:t>
      </w:r>
      <w:r w:rsidR="00A02A77" w:rsidRPr="00AC26F8">
        <w:rPr>
          <w:b/>
        </w:rPr>
        <w:t>B</w:t>
      </w:r>
      <w:r w:rsidRPr="00AC26F8">
        <w:t>, red line). The ultrasensitive response to the perturbation strength suggests that a unimodal distribution of the perturbation effects can generate a bimodal distribution in the relative oral bacteria abundance (</w:t>
      </w:r>
      <w:r w:rsidRPr="00AC26F8">
        <w:rPr>
          <w:b/>
        </w:rPr>
        <w:t>Fig. 1</w:t>
      </w:r>
      <w:r w:rsidR="00943BA6" w:rsidRPr="00AC26F8">
        <w:rPr>
          <w:b/>
        </w:rPr>
        <w:t>C</w:t>
      </w:r>
      <w:r w:rsidRPr="00AC26F8">
        <w:t xml:space="preserve">). The mathematical result indicates that humans with perturbed gut bacteria may constitute two subpopulations with very low or very high relative abundance of oral bacteria in their feces. We find evidence for this model prediction in the fecal microbiota of healthy Western adults, which show bimodal distributions of </w:t>
      </w:r>
      <w:r w:rsidRPr="00AC26F8">
        <w:rPr>
          <w:i/>
          <w:iCs/>
        </w:rPr>
        <w:t>Prevotella</w:t>
      </w:r>
      <w:r w:rsidRPr="00AC26F8">
        <w:t xml:space="preserve"> species commonly found in the oral cavity </w:t>
      </w:r>
      <w:r w:rsidRPr="00AC26F8">
        <w:fldChar w:fldCharType="begin"/>
      </w:r>
      <w:r w:rsidR="00D42550" w:rsidRPr="00AC26F8">
        <w:instrText>ADDIN F1000_CSL_CITATION&lt;~#@#~&gt;[{"DOI":"10.1038/ncomms5344","First":false,"Last":false,"PMCID":"PMC4102116","PMID":"25003530","abstract":"The microbial communities living in the human intestine can have profound impact on our well-being and health. However, we have limited understanding of the mechanisms that control this complex ecosystem. Here, based on a deep phylogenetic analysis of the intestinal microbiota in a thousand western adults, we identify groups of bacteria that exhibit robust bistable abundance distributions. These bacteria are either abundant or nearly absent in most individuals, and exhibit decreased temporal stability at the intermediate abundance range. The abundances of these bimodally distributed bacteria vary independently, and their abundance distributions are not affected by short-term dietary interventions. However, their contrasting alternative states are associated with host factors such as ageing and overweight. We propose that the bistable groups reflect tipping elements of the intestinal microbiota, whose critical transitions may have profound health implications and diagnostic potential.","author":[{"family":"Lahti","given":"Leo"},{"family":"Salojärvi","given":"Jarkko"},{"family":"Salonen","given":"Anne"},{"family":"Scheffer","given":"Marten"},{"family":"de Vos","given":"Willem M"}],"authorYearDisplayFormat":false,"citation-label":"4336590","container-title":"Nature Communications","container-title-short":"Nat. Commun.","id":"4336590","invisible":false,"issued":{"date-parts":[["2014","7","8"]]},"journalAbbreviation":"Nat. Commun.","page":"4344","suppress-author":false,"title":"Tipping elements in the human intestinal ecosystem.","type":"article-journal","volume":"5"},{"DOI":"10.1038/s41579-021-00559-y","First":false,"Last":false,"PMID":"34050328","abstract":"The genus Prevotella includes more than 50 characterized species that occur in varied natural habitats, although most Prevotella spp. are associated with humans. In the human microbiome, Prevotella spp. are highly abundant in various body sites, where they are key players in the balance between health and disease. Host factors related to diet, lifestyle and geography are fundamental in affecting the diversity and prevalence of Prevotella species and strains in the human microbiome. These factors, along with the ecological relationship of Prevotella with other members of the microbiome, likely determine the extent of the contribution of Prevotella to human metabolism and health. Here we review the diversity, prevalence and potential connection of Prevotella spp. in the human host, highlighting how genomic methods and analysis have improved and should further help in framing their ecological role. We also provide suggestions for future research to improve understanding of the possible functions of Prevotella spp. and the effects of the Western lifestyle and diet on the host-Prevotella symbiotic relationship in the context of maintaining human health.&lt;br&gt;&lt;br&gt;© 2021. Springer Nature Limited.","author":[{"family":"Tett","given":"Adrian"},{"family":"Pasolli","given":"Edoardo"},{"family":"Masetti","given":"Giulia"},{"family":"Ercolini","given":"Danilo"},{"family":"Segata","given":"Nicola"}],"authorYearDisplayFormat":false,"citation-label":"11120281","container-title":"Nature Reviews. Microbiology","container-title-short":"Nat. Rev. Microbiol.","id":"11120281","invisible":false,"issue":"9","issued":{"date-parts":[["2021","9"]]},"journalAbbreviation":"Nat. Rev. Microbiol.","page":"585-599","suppress-author":false,"title":"Prevotella diversity, niches and interactions with the human host.","type":"article-journal","volume":"19"}]</w:instrText>
      </w:r>
      <w:r w:rsidRPr="00AC26F8">
        <w:fldChar w:fldCharType="separate"/>
      </w:r>
      <w:r w:rsidR="00D42550" w:rsidRPr="00AC26F8">
        <w:t>(Lahti et al., 2014; Tett et al., 2021)</w:t>
      </w:r>
      <w:r w:rsidRPr="00AC26F8">
        <w:fldChar w:fldCharType="end"/>
      </w:r>
      <w:r w:rsidRPr="00AC26F8">
        <w:t xml:space="preserve">. We further derived that </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AC26F8">
        <w:t xml:space="preserve"> is inversely proportional to the total bacterial density (</w:t>
      </w:r>
      <m:oMath>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rsidRPr="00AC26F8">
        <w:t>) in the gut lumen regardless of antibiotic-induced perturbations</w:t>
      </w:r>
    </w:p>
    <w:p w14:paraId="40065642" w14:textId="6160F656" w:rsidR="0015189C" w:rsidRPr="00AC26F8" w:rsidRDefault="00F657B3" w:rsidP="00A00A4E">
      <w:pPr>
        <w:ind w:left="2880" w:firstLine="720"/>
      </w:pPr>
      <m:oMath>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/D</m:t>
                </m:r>
              </m:num>
              <m:den>
                <m:r>
                  <w:rPr>
                    <w:rFonts w:ascii="Cambria Math" w:hAnsi="Cambria Math"/>
                  </w:rPr>
                  <m:t>1-</m:t>
                </m:r>
                <m:sSub>
                  <m:sSubPr>
                    <m:ctrlPr>
                      <w:rPr>
                        <w:rFonts w:ascii="Cambria Math" w:hAnsi="Cambria Math"/>
                      </w:rPr>
                    </m:ctrlPr>
                  </m:sSubPr>
                  <m:e>
                    <m:r>
                      <w:rPr>
                        <w:rFonts w:ascii="Cambria Math" w:hAnsi="Cambria Math"/>
                      </w:rPr>
                      <m:t>γ</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den>
            </m:f>
          </m:e>
        </m:d>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f</m:t>
                </m:r>
              </m:e>
              <m:sub>
                <m:r>
                  <w:rPr>
                    <w:rFonts w:ascii="Cambria Math" w:hAnsi="Cambria Math"/>
                  </w:rPr>
                  <m:t>o</m:t>
                </m:r>
              </m:sub>
            </m:sSub>
          </m:den>
        </m:f>
      </m:oMath>
      <w:r w:rsidR="0015189C" w:rsidRPr="00AC26F8">
        <w:tab/>
      </w:r>
      <w:r w:rsidR="0015189C" w:rsidRPr="00AC26F8">
        <w:tab/>
      </w:r>
      <w:r w:rsidR="0015189C" w:rsidRPr="00AC26F8">
        <w:tab/>
      </w:r>
      <w:r w:rsidR="0015189C" w:rsidRPr="00AC26F8">
        <w:tab/>
      </w:r>
      <w:r w:rsidR="005F6774" w:rsidRPr="00AC26F8">
        <w:tab/>
      </w:r>
      <w:r w:rsidR="0015189C" w:rsidRPr="00AC26F8">
        <w:t>Eq. (3)</w:t>
      </w:r>
    </w:p>
    <w:p w14:paraId="4E27EEA1" w14:textId="7FBF9E10" w:rsidR="0015189C" w:rsidRPr="00AC26F8" w:rsidRDefault="0015189C" w:rsidP="00A00A4E">
      <w:r w:rsidRPr="00AC26F8">
        <w:t>This implies a negative linear relationship in the log-log space between the fraction of oral bacteria and the total bacterial density in the gut, irrespective of the perturbations (</w:t>
      </w:r>
      <w:r w:rsidRPr="00AC26F8">
        <w:rPr>
          <w:b/>
        </w:rPr>
        <w:t>Fig. 1</w:t>
      </w:r>
      <w:r w:rsidR="00943BA6" w:rsidRPr="00AC26F8">
        <w:rPr>
          <w:b/>
        </w:rPr>
        <w:t>D</w:t>
      </w:r>
      <w:r w:rsidRPr="00AC26F8">
        <w:t>).</w:t>
      </w:r>
    </w:p>
    <w:p w14:paraId="2E7C4B12" w14:textId="77777777" w:rsidR="0015189C" w:rsidRPr="00AC26F8" w:rsidRDefault="0015189C" w:rsidP="00A00A4E"/>
    <w:p w14:paraId="7158CA40" w14:textId="28D53A68" w:rsidR="0015189C" w:rsidRPr="00AC26F8" w:rsidRDefault="0015189C" w:rsidP="00A00A4E">
      <w:pPr>
        <w:rPr>
          <w:b/>
          <w:strike/>
        </w:rPr>
      </w:pPr>
      <w:r w:rsidRPr="00AC26F8">
        <w:rPr>
          <w:b/>
        </w:rPr>
        <w:t>Quantifying oral bacteria in feces</w:t>
      </w:r>
    </w:p>
    <w:p w14:paraId="59B71B54" w14:textId="5E47D325" w:rsidR="0069268C" w:rsidRPr="00AC26F8" w:rsidRDefault="0015189C" w:rsidP="00A00A4E">
      <w:r w:rsidRPr="00AC26F8">
        <w:t>Quantifying the fraction of oral bacteria in feces is a microbial source tracking problem</w:t>
      </w:r>
      <w:r w:rsidR="00E46690" w:rsidRPr="00AC26F8">
        <w:t xml:space="preserve"> </w:t>
      </w:r>
      <w:r w:rsidRPr="00AC26F8">
        <w:fldChar w:fldCharType="begin"/>
      </w:r>
      <w:r w:rsidR="00D42550" w:rsidRPr="00AC26F8">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tracking.","type":"article-journal","volume":"8"},{"DOI":"10.1038/s41592-019-0431-x","First":false,"Last":false,"PMCID":"PMC8535041","PMID":"31182859","abstract":"A major challenge of analyzing the compositional structure of microbiome data is identifying its potential origins. Here, we introduce fast expectation-maximization microbial source tracking (FEAST), a ready-to-use scalable framework that can simultaneously estimate the contribution of thousands of potential source environments in a timely manner, thereby helping unravel the origins of complex microbial communities ( https://github.com/cozygene/FEAST ). The information gained from FEAST may provide insight into quantifying contamination, tracking the formation of developing microbial communities, as well as distinguishing and characterizing bacteria-related health conditions.","author":[{"family":"Shenhav","given":"Liat"},{"family":"Thompson","given":"Mike"},{"family":"Joseph","given":"Tyler A"},{"family":"Briscoe","given":"Leah"},{"family":"Furman","given":"Ori"},{"family":"Bogumil","given":"David"},{"family":"Mizrahi","given":"Itzhak"},{"family":"Pe'er","given":"Itsik"},{"family":"Halperin","given":"Eran"}],"authorYearDisplayFormat":false,"citation-label":"7044560","container-title":"Nature Methods","container-title-short":"Nat. Methods","id":"7044560","invisible":false,"issue":"7","issued":{"date-parts":[["2019","7"]]},"journalAbbreviation":"Nat. Methods","page":"627-632","suppress-author":false,"title":"FEAST: fast expectation-maximization for microbial source tracking.","type":"article-journal","volume":"16"}]</w:instrText>
      </w:r>
      <w:r w:rsidRPr="00AC26F8">
        <w:fldChar w:fldCharType="separate"/>
      </w:r>
      <w:r w:rsidR="00D42550" w:rsidRPr="00AC26F8">
        <w:rPr>
          <w:noProof/>
        </w:rPr>
        <w:t>(Knights et al., 2011; Shenhav et al., 2019)</w:t>
      </w:r>
      <w:r w:rsidRPr="00AC26F8">
        <w:fldChar w:fldCharType="end"/>
      </w:r>
      <w:r w:rsidRPr="00AC26F8">
        <w:t xml:space="preserve">. Paired oral and gut microbiome samples are generally unavailable for most literature studies. To circumvent this limitation, we developed a new computational approach </w:t>
      </w:r>
      <w:r w:rsidR="00266225" w:rsidRPr="00AC26F8">
        <w:t xml:space="preserve">that mathematically models any bacterial population—including those in the fecal and oral samples—as a mixture of </w:t>
      </w:r>
      <w:r w:rsidR="00242478" w:rsidRPr="00AC26F8">
        <w:t xml:space="preserve">stereotypical bacterial </w:t>
      </w:r>
      <w:r w:rsidR="00266225" w:rsidRPr="00AC26F8">
        <w:t>communities inhabiting</w:t>
      </w:r>
      <w:r w:rsidR="00032968" w:rsidRPr="00AC26F8">
        <w:t xml:space="preserve"> </w:t>
      </w:r>
      <w:r w:rsidR="00266225" w:rsidRPr="00AC26F8">
        <w:t xml:space="preserve">different body sites of </w:t>
      </w:r>
      <w:r w:rsidR="00025E62" w:rsidRPr="00AC26F8">
        <w:t>a</w:t>
      </w:r>
      <w:r w:rsidR="00CC5839" w:rsidRPr="00AC26F8">
        <w:t xml:space="preserve"> </w:t>
      </w:r>
      <w:r w:rsidR="00266225" w:rsidRPr="00AC26F8">
        <w:t xml:space="preserve">typical average person. </w:t>
      </w:r>
      <w:r w:rsidR="00242478" w:rsidRPr="00AC26F8">
        <w:t xml:space="preserve">We identified five habitats </w:t>
      </w:r>
      <w:r w:rsidR="00032968" w:rsidRPr="00AC26F8">
        <w:t xml:space="preserve">from </w:t>
      </w:r>
      <w:r w:rsidRPr="00AC26F8">
        <w:t>Human Microbiome Project (HMP)</w:t>
      </w:r>
      <w:r w:rsidR="00E46690" w:rsidRPr="00AC26F8">
        <w:t xml:space="preserve"> </w:t>
      </w:r>
      <w:r w:rsidRPr="00AC26F8">
        <w:fldChar w:fldCharType="begin"/>
      </w:r>
      <w:r w:rsidR="00D42550" w:rsidRPr="00AC26F8">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fldChar w:fldCharType="separate"/>
      </w:r>
      <w:r w:rsidR="00D42550" w:rsidRPr="00AC26F8">
        <w:t>(Human Microbiome Project Consortium, 2012)</w:t>
      </w:r>
      <w:r w:rsidRPr="00AC26F8">
        <w:fldChar w:fldCharType="end"/>
      </w:r>
      <w:r w:rsidR="00032968" w:rsidRPr="00AC26F8">
        <w:t xml:space="preserve">: </w:t>
      </w:r>
      <w:r w:rsidR="00BE48B2" w:rsidRPr="00AC26F8">
        <w:t>All</w:t>
      </w:r>
      <w:r w:rsidRPr="00AC26F8">
        <w:t xml:space="preserve"> 4,587 HMP samples collected from five major body sites (GI tract, oral cavity, nasal cavity, skin, and urogenital tract)</w:t>
      </w:r>
      <w:r w:rsidR="00F40ECE" w:rsidRPr="00AC26F8">
        <w:t xml:space="preserve"> of 235 healthy individuals</w:t>
      </w:r>
      <w:r w:rsidRPr="00AC26F8">
        <w:t xml:space="preserve"> clustered into five habitats of similar compositions that match roughly, though not exactly, their collection sites (</w:t>
      </w:r>
      <w:r w:rsidRPr="00AC26F8">
        <w:rPr>
          <w:b/>
        </w:rPr>
        <w:t>Fig. 2</w:t>
      </w:r>
      <w:r w:rsidR="00E46690" w:rsidRPr="00AC26F8">
        <w:rPr>
          <w:b/>
        </w:rPr>
        <w:t>A</w:t>
      </w:r>
      <w:r w:rsidRPr="00AC26F8">
        <w:t>). The nasal cavity and skin clustered together, and the oral cavity formed two clusters, each corresponding to different oral cavity subsites</w:t>
      </w:r>
      <w:r w:rsidR="00E46690" w:rsidRPr="00AC26F8">
        <w:t xml:space="preserve"> </w:t>
      </w:r>
      <w:r w:rsidRPr="00AC26F8">
        <w:fldChar w:fldCharType="begin"/>
      </w:r>
      <w:r w:rsidR="00D42550" w:rsidRPr="00AC26F8">
        <w:instrText>ADDIN F1000_CSL_CITATION&lt;~#@#~&gt;[{"DOI":"10.1038/s41579-018-0089-x","First":false,"Last":false,"PMCID":"PMC6278837","PMID":"30301974","abstract":"The dynamic and polymicrobial oral microbiome is a direct precursor of diseases such as dental caries and periodontitis, two of the most prevalent microbially induced disorders worldwide. Distinct microenvironments at oral barriers harbour unique microbial communities, which are regulated through sophisticated signalling systems and by host and environmental factors. The collective function of microbial communities is a major driver of homeostasis or dysbiosis and ultimately health or disease. Despite different aetiologies, periodontitis and caries are each driven by a feedforward loop between the microbiota and host factors (inflammation and dietary sugars, respectively) that favours the emergence and persistence of dysbiosis. In this Review, we discuss current knowledge and emerging mechanisms governing oral polymicrobial synergy and dysbiosis that have both enhanced our understanding of pathogenic mechanisms and aided the design of innovative therapeutic approaches for oral diseases.","author":[{"family":"Lamont","given":"Richard J"},{"family":"Koo","given":"Hyun"},{"family":"Hajishengallis","given":"George"}],"authorYearDisplayFormat":false,"citation-label":"5865205","container-title":"Nature Reviews. Microbiology","container-title-short":"Nat. Rev. Microbiol.","id":"5865205","invisible":false,"issue":"12","issued":{"date-parts":[["2018","12"]]},"journalAbbreviation":"Nat. Rev. Microbiol.","page":"745-759","suppress-author":false,"title":"The oral microbiota: dynamic communities and host interactions.","type":"article-journal","volume":"16"},{"DOI":"10.1186/gb-2012-13-6-r42","First":false,"Last":false,"PMCID":"PMC3446314","PMID":"22698087","abstract":"&lt;strong&gt;BACKGROUND:&lt;/strong&gt; To understand the relationship between our bacterial microbiome and health, it is essential to define the microbiome in the absence of disease. The digestive tract includes diverse habitats and hosts the human body's greatest bacterial density. We describe the bacterial community composition of ten digestive tract sites from more than 200 normal adults enrolled in the Human Microbiome Project, and metagenomically determined metabolic potentials of four representative sites.&lt;br&gt;&lt;br&gt;&lt;strong&gt;RESULTS:&lt;/strong&gt; The microbiota of these diverse habitats formed four groups based on similar community compositions: buccal mucosa, keratinized gingiva, hard palate; saliva, tongue, tonsils, throat; sub- and supra-gingival plaques; and stool. Phyla initially identified from environmental samples were detected throughout this population, primarily TM7, SR1, and Synergistetes. Genera with pathogenic members were well-represented among this disease-free cohort. Tooth-associated communities were distinct, but not entirely dissimilar, from other oral surfaces. The Porphyromonadaceae, Veillonellaceae and Lachnospiraceae families were common to all sites, but the distributions of their genera varied significantly. Most metabolic processes were distributed widely throughout the digestive tract microbiota, with variations in metagenomic abundance between body habitats. These included shifts in sugar transporter types between the supragingival plaque, other oral surfaces, and stool; hydrogen and hydrogen sulfide production were also differentially distributed.&lt;br&gt;&lt;br&gt;&lt;strong&gt;CONCLUSIONS:&lt;/strong&gt; The microbiomes of ten digestive tract sites separated into four types based on composition. A core set of metabolic pathways was present across these diverse digestive tract habitats. These data provide a critical baseline for future studies investigating local and systemic diseases affecting human health.","author":[{"family":"Segata","given":"Nicola"},{"family":"Haake","given":"Susan Kinder"},{"family":"Mannon","given":"Peter"},{"family":"Lemon","given":"Katherine P"},{"family":"Waldron","given":"Levi"},{"family":"Gevers","given":"Dirk"},{"family":"Huttenhower","given":"Curtis"},{"family":"Izard","given":"Jacques"}],"authorYearDisplayFormat":false,"citation-label":"594073","container-title":"Genome Biology","container-title-short":"Genome Biol.","id":"594073","invisible":false,"issue":"6","issued":{"date-parts":[["2012","6","14"]]},"journalAbbreviation":"Genome Biol.","page":"R42","suppress-author":false,"title":"Composition of the adult digestive tract bacterial microbiome based on seven mouth surfaces, tonsils, throat and stool samples.","type":"article-journal","volume":"13"}]</w:instrText>
      </w:r>
      <w:r w:rsidRPr="00AC26F8">
        <w:fldChar w:fldCharType="separate"/>
      </w:r>
      <w:r w:rsidR="00D42550" w:rsidRPr="00AC26F8">
        <w:t>(Lamont et al., 2018; Segata et al., 2012)</w:t>
      </w:r>
      <w:r w:rsidRPr="00AC26F8">
        <w:fldChar w:fldCharType="end"/>
      </w:r>
      <w:r w:rsidRPr="00AC26F8">
        <w:t xml:space="preserve">. </w:t>
      </w:r>
    </w:p>
    <w:p w14:paraId="2C1FEBF5" w14:textId="502B78B2" w:rsidR="002A4CB8" w:rsidRPr="00AC26F8" w:rsidRDefault="00BB17C7" w:rsidP="00A00A4E">
      <w:pPr>
        <w:ind w:firstLine="720"/>
      </w:pPr>
      <w:r w:rsidRPr="00AC26F8">
        <w:t>We</w:t>
      </w:r>
      <w:r w:rsidR="0015189C" w:rsidRPr="00AC26F8">
        <w:t xml:space="preserve"> extract</w:t>
      </w:r>
      <w:r w:rsidRPr="00AC26F8">
        <w:t>ed</w:t>
      </w:r>
      <w:r w:rsidR="0015189C" w:rsidRPr="00AC26F8">
        <w:t xml:space="preserve"> the typical composition of each habitat </w:t>
      </w:r>
      <w:r w:rsidRPr="00AC26F8">
        <w:t>from</w:t>
      </w:r>
      <w:r w:rsidR="0015189C" w:rsidRPr="00AC26F8">
        <w:t xml:space="preserve"> the HMP samples using non-negative matrix factorization</w:t>
      </w:r>
      <w:r w:rsidR="00E46690" w:rsidRPr="00AC26F8">
        <w:t xml:space="preserve"> </w:t>
      </w:r>
      <w:r w:rsidR="0015189C" w:rsidRPr="00AC26F8">
        <w:fldChar w:fldCharType="begin"/>
      </w:r>
      <w:r w:rsidR="00D42550" w:rsidRPr="00AC26F8">
        <w:instrText>ADDIN F1000_CSL_CITATION&lt;~#@#~&gt;[{"DOI":"10.1038/44565","First":false,"Last":false,"PMID":"10548103","abstract":"Is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sign.","author":[{"family":"Lee","given":"D D"},{"family":"Seung","given":"H S"}],"authorYearDisplayFormat":false,"citation-label":"387370","container-title":"Nature","container-title-short":"Nature","id":"387370","invisible":false,"issue":"6755","issued":{"date-parts":[["1999","10","21"]]},"journalAbbreviation":"Nature","page":"788-791","suppress-author":false,"title":"Learning the parts of objects by non-negative matrix factorization.","type":"article-journal","volume":"401"}]</w:instrText>
      </w:r>
      <w:r w:rsidR="0015189C" w:rsidRPr="00AC26F8">
        <w:fldChar w:fldCharType="separate"/>
      </w:r>
      <w:r w:rsidR="00D42550" w:rsidRPr="00AC26F8">
        <w:t>(Lee and Seung, 1999)</w:t>
      </w:r>
      <w:r w:rsidR="0015189C" w:rsidRPr="00AC26F8">
        <w:fldChar w:fldCharType="end"/>
      </w:r>
      <w:r w:rsidR="0015189C" w:rsidRPr="00AC26F8">
        <w:t xml:space="preserve"> (</w:t>
      </w:r>
      <w:r w:rsidR="0015189C" w:rsidRPr="00AC26F8">
        <w:rPr>
          <w:b/>
        </w:rPr>
        <w:t>Fig. 2</w:t>
      </w:r>
      <w:r w:rsidR="00E46690" w:rsidRPr="00AC26F8">
        <w:rPr>
          <w:b/>
        </w:rPr>
        <w:t>B</w:t>
      </w:r>
      <w:r w:rsidR="0015189C" w:rsidRPr="00AC26F8">
        <w:t xml:space="preserve">, </w:t>
      </w:r>
      <w:r w:rsidR="008F2860" w:rsidRPr="00AC26F8">
        <w:t xml:space="preserve">upper </w:t>
      </w:r>
      <w:r w:rsidR="00E67ADB" w:rsidRPr="00AC26F8">
        <w:t>panel</w:t>
      </w:r>
      <w:r w:rsidR="008F2860" w:rsidRPr="00AC26F8">
        <w:t xml:space="preserve">; </w:t>
      </w:r>
      <w:r w:rsidR="00E46690" w:rsidRPr="00AC26F8">
        <w:rPr>
          <w:b/>
        </w:rPr>
        <w:t>Fig. S1A,B</w:t>
      </w:r>
      <w:r w:rsidR="0015189C" w:rsidRPr="00AC26F8">
        <w:t>). This revealed that each habitat had one or a few dominant bacterial genera (</w:t>
      </w:r>
      <w:r w:rsidR="0015189C" w:rsidRPr="00AC26F8">
        <w:rPr>
          <w:b/>
        </w:rPr>
        <w:t>Fig. 2</w:t>
      </w:r>
      <w:r w:rsidR="007915E7" w:rsidRPr="00AC26F8">
        <w:rPr>
          <w:b/>
        </w:rPr>
        <w:t>C</w:t>
      </w:r>
      <w:r w:rsidR="0015189C" w:rsidRPr="00AC26F8">
        <w:t xml:space="preserve">). For instance, </w:t>
      </w:r>
      <w:r w:rsidR="0015189C" w:rsidRPr="00AC26F8">
        <w:rPr>
          <w:i/>
        </w:rPr>
        <w:t xml:space="preserve">Streptococcus </w:t>
      </w:r>
      <w:r w:rsidR="0015189C" w:rsidRPr="00AC26F8">
        <w:t xml:space="preserve">(54%) and </w:t>
      </w:r>
      <w:r w:rsidR="0015189C" w:rsidRPr="00AC26F8">
        <w:rPr>
          <w:i/>
        </w:rPr>
        <w:t xml:space="preserve">Prevotella </w:t>
      </w:r>
      <w:r w:rsidR="0015189C" w:rsidRPr="00AC26F8">
        <w:t>(20%) were the most abundant genera in the oral cavity habitat 1 (e.g., saliva) and 2 (supra-/sub-gingival plaques) respectively.</w:t>
      </w:r>
      <w:r w:rsidR="0069268C" w:rsidRPr="00AC26F8">
        <w:t xml:space="preserve"> </w:t>
      </w:r>
      <w:r w:rsidR="0015189C" w:rsidRPr="00AC26F8">
        <w:t xml:space="preserve">The unmixing step also quantified the proportions of </w:t>
      </w:r>
      <w:r w:rsidR="00C539C4" w:rsidRPr="00AC26F8">
        <w:t xml:space="preserve">oral </w:t>
      </w:r>
      <w:r w:rsidR="0015189C" w:rsidRPr="00AC26F8">
        <w:t xml:space="preserve">bacteria in HMP samples. We compared </w:t>
      </w:r>
      <w:r w:rsidR="00A17508" w:rsidRPr="00AC26F8">
        <w:t>our</w:t>
      </w:r>
      <w:r w:rsidR="0015189C" w:rsidRPr="00AC26F8">
        <w:t xml:space="preserve"> approach to two alternative methods based on Random Forest </w:t>
      </w:r>
      <w:r w:rsidR="00D73394" w:rsidRPr="00AC26F8">
        <w:t>c</w:t>
      </w:r>
      <w:r w:rsidR="0015189C" w:rsidRPr="00AC26F8">
        <w:t>lassifi</w:t>
      </w:r>
      <w:r w:rsidR="00C532C9" w:rsidRPr="00AC26F8">
        <w:t>er</w:t>
      </w:r>
      <w:r w:rsidR="00617338" w:rsidRPr="00AC26F8">
        <w:t xml:space="preserve"> (RFC)</w:t>
      </w:r>
      <w:r w:rsidR="00324846" w:rsidRPr="00AC26F8">
        <w:t xml:space="preserve"> </w:t>
      </w:r>
      <w:r w:rsidR="00BB42F3" w:rsidRPr="00AC26F8">
        <w:fldChar w:fldCharType="begin"/>
      </w:r>
      <w:r w:rsidR="00BB42F3" w:rsidRPr="00AC26F8">
        <w:instrText>ADDIN F1000_CSL_CITATION&lt;~#@#~&gt;[{"First":false,"Last":false,"abstract":"Decision trees are attractive classifiers due to their high execution speed. But trees derived with traditional methods often cannot be grown to arbitrary complexity for possible loss of generalization accuracy on unseen data. The limitation on complexity usually means …","author":[{"family":"Ho","given":"T K"}],"authorYearDisplayFormat":false,"citation-label":"12243591","container-title":"Proceedings of 3rd international conference on","container-title-short":"Proceedings of 3rd international conference on","id":"12243591","invisible":false,"issued":{"date-parts":[["1995"]]},"journalAbbreviation":"Proceedings of 3rd international conference on","suppress-author":false,"title":"Random decision forests","type":"article-journal"}]</w:instrText>
      </w:r>
      <w:r w:rsidR="00BB42F3" w:rsidRPr="00AC26F8">
        <w:fldChar w:fldCharType="separate"/>
      </w:r>
      <w:r w:rsidR="00BB42F3" w:rsidRPr="00AC26F8">
        <w:t>(Ho, 1995)</w:t>
      </w:r>
      <w:r w:rsidR="00BB42F3" w:rsidRPr="00AC26F8">
        <w:fldChar w:fldCharType="end"/>
      </w:r>
      <w:r w:rsidR="0015189C" w:rsidRPr="00AC26F8">
        <w:t xml:space="preserve"> and SourceTracker 2</w:t>
      </w:r>
      <w:r w:rsidR="00BB42F3" w:rsidRPr="00AC26F8">
        <w:t xml:space="preserve"> </w:t>
      </w:r>
      <w:r w:rsidR="00BB42F3" w:rsidRPr="00AC26F8">
        <w:fldChar w:fldCharType="begin"/>
      </w:r>
      <w:r w:rsidR="00BB42F3" w:rsidRPr="00AC26F8">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00BB42F3" w:rsidRPr="00AC26F8">
        <w:fldChar w:fldCharType="separate"/>
      </w:r>
      <w:r w:rsidR="00BB42F3" w:rsidRPr="00AC26F8">
        <w:t>(Knights et al., 2011)</w:t>
      </w:r>
      <w:r w:rsidR="00BB42F3" w:rsidRPr="00AC26F8">
        <w:fldChar w:fldCharType="end"/>
      </w:r>
      <w:r w:rsidR="00B5698E" w:rsidRPr="00AC26F8">
        <w:t>,</w:t>
      </w:r>
      <w:r w:rsidR="0015189C" w:rsidRPr="00AC26F8">
        <w:t xml:space="preserve"> both showing Pearson’s correlation coefficients &gt; 0.6 (</w:t>
      </w:r>
      <w:r w:rsidR="0015189C" w:rsidRPr="00AC26F8">
        <w:rPr>
          <w:b/>
          <w:bCs/>
        </w:rPr>
        <w:t xml:space="preserve">Fig. </w:t>
      </w:r>
      <w:r w:rsidR="007915E7" w:rsidRPr="00AC26F8">
        <w:rPr>
          <w:b/>
          <w:bCs/>
        </w:rPr>
        <w:t>S</w:t>
      </w:r>
      <w:r w:rsidR="0015189C" w:rsidRPr="00AC26F8">
        <w:rPr>
          <w:b/>
          <w:bCs/>
        </w:rPr>
        <w:t>1</w:t>
      </w:r>
      <w:r w:rsidR="007915E7" w:rsidRPr="00AC26F8">
        <w:rPr>
          <w:b/>
          <w:bCs/>
        </w:rPr>
        <w:t>C</w:t>
      </w:r>
      <w:r w:rsidR="0015189C" w:rsidRPr="00AC26F8">
        <w:t>). The predicted fractions confirmed the general notion that oral bacteria</w:t>
      </w:r>
      <w:r w:rsidR="00B02038" w:rsidRPr="00AC26F8">
        <w:t xml:space="preserve"> </w:t>
      </w:r>
      <w:r w:rsidR="0015189C" w:rsidRPr="00AC26F8">
        <w:t>are rarely</w:t>
      </w:r>
      <w:r w:rsidR="00B02038" w:rsidRPr="00AC26F8">
        <w:t xml:space="preserve"> abundant </w:t>
      </w:r>
      <w:r w:rsidR="0015189C" w:rsidRPr="00AC26F8">
        <w:t>in the feces of healthy people</w:t>
      </w:r>
      <w:r w:rsidR="008F2860" w:rsidRPr="00AC26F8">
        <w:t xml:space="preserve"> </w:t>
      </w:r>
      <w:r w:rsidR="0015189C" w:rsidRPr="00AC26F8">
        <w:fldChar w:fldCharType="begin"/>
      </w:r>
      <w:r w:rsidR="00D42550" w:rsidRPr="00AC26F8">
        <w:instrText>ADDIN F1000_CSL_CITATION&lt;~#@#~&gt;[{"DOI":"10.1126/science.1177486","First":false,"Last":false,"PMCID":"PMC3602444","PMID":"19892944","abstract":"Elucidating the biogeography of bacterial communities on the human body is critical for establishing healthy baselines from which to detect differences associated with diseases. To obtain an integrated view of the spatial and temporal distribution of the human microbiota, we surveyed bacteria from up to 27 sites in seven to nine healthy adults on four occasions. We found that community composition was determined primarily by body habitat. Within habitats, interpersonal variability was high, whereas individuals exhibited minimal temporal variability. Several skin locations harbored more diverse communities than the gut and mouth, and skin locations differed in their community assembly patterns. These results indicate that our microbiota, although personalized, varies systematically across body habitats and time; such trends may ultimately reveal how microbiome changes cause or prevent disease.","author":[{"family":"Costello","given":"Elizabeth K"},{"family":"Lauber","given":"Christian L"},{"family":"Hamady","given":"Micah"},{"family":"Fierer","given":"Noah"},{"family":"Gordon","given":"Jeffrey I"},{"family":"Knight","given":"Rob"}],"authorYearDisplayFormat":false,"citation-label":"227359","container-title":"Science","container-title-short":"Science","id":"227359","invisible":false,"issue":"5960","issued":{"date-parts":[["2009","12","18"]]},"journalAbbreviation":"Science","page":"1694-1697","suppress-author":false,"title":"Bacterial community variation in human body habitats across space and time.","type":"article-journal","volume":"326"},{"DOI":"10.1038/nature11234","First":false,"Last":false,"PMCID":"PMC3564958","PMID":"22699609","abstract":"Studies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0015189C" w:rsidRPr="00AC26F8">
        <w:fldChar w:fldCharType="separate"/>
      </w:r>
      <w:r w:rsidR="00D42550" w:rsidRPr="00AC26F8">
        <w:t>(Costello et al., 2009; Human Microbiome Project Consortium, 2012)</w:t>
      </w:r>
      <w:r w:rsidR="0015189C" w:rsidRPr="00AC26F8">
        <w:fldChar w:fldCharType="end"/>
      </w:r>
      <w:r w:rsidR="0015189C" w:rsidRPr="00AC26F8">
        <w:t xml:space="preserve"> (</w:t>
      </w:r>
      <w:r w:rsidR="0015189C" w:rsidRPr="00AC26F8">
        <w:rPr>
          <w:b/>
        </w:rPr>
        <w:t>Fig. 2</w:t>
      </w:r>
      <w:r w:rsidR="008F2860" w:rsidRPr="00AC26F8">
        <w:rPr>
          <w:b/>
        </w:rPr>
        <w:t>D</w:t>
      </w:r>
      <w:r w:rsidR="0015189C" w:rsidRPr="00AC26F8">
        <w:t xml:space="preserve">). </w:t>
      </w:r>
      <w:r w:rsidR="00B02038" w:rsidRPr="00AC26F8">
        <w:t>Although t</w:t>
      </w:r>
      <w:r w:rsidR="00F10560" w:rsidRPr="00AC26F8">
        <w:t xml:space="preserve">he majority of HMP samples are composed of bacteria </w:t>
      </w:r>
      <w:r w:rsidR="004B65A0" w:rsidRPr="00AC26F8">
        <w:t xml:space="preserve">typically inhabiting </w:t>
      </w:r>
      <w:r w:rsidR="00F10560" w:rsidRPr="00AC26F8">
        <w:t>their collection body sites</w:t>
      </w:r>
      <w:r w:rsidR="00B02038" w:rsidRPr="00AC26F8">
        <w:t xml:space="preserve">, </w:t>
      </w:r>
      <w:r w:rsidR="0015189C" w:rsidRPr="00AC26F8">
        <w:t xml:space="preserve">37 (11.5%) fecal samples have </w:t>
      </w:r>
      <m:oMath>
        <m:r>
          <w:rPr>
            <w:rFonts w:ascii="Cambria Math" w:hAnsi="Cambria Math"/>
          </w:rPr>
          <m:t>≥</m:t>
        </m:r>
      </m:oMath>
      <w:r w:rsidR="0015189C" w:rsidRPr="00AC26F8">
        <w:t xml:space="preserve">10 % oral genera </w:t>
      </w:r>
      <w:r w:rsidR="00F560C4" w:rsidRPr="00AC26F8">
        <w:t>(</w:t>
      </w:r>
      <w:r w:rsidR="00F560C4" w:rsidRPr="00AC26F8">
        <w:rPr>
          <w:b/>
        </w:rPr>
        <w:t>Fig. 2D</w:t>
      </w:r>
      <w:r w:rsidR="00F560C4" w:rsidRPr="00AC26F8">
        <w:t xml:space="preserve">, violet box) </w:t>
      </w:r>
      <w:r w:rsidR="0015189C" w:rsidRPr="00AC26F8">
        <w:t xml:space="preserve">such as </w:t>
      </w:r>
      <w:r w:rsidR="0015189C" w:rsidRPr="00AC26F8">
        <w:rPr>
          <w:i/>
        </w:rPr>
        <w:t>Veillonella</w:t>
      </w:r>
      <w:r w:rsidR="0015189C" w:rsidRPr="00AC26F8">
        <w:t xml:space="preserve"> (</w:t>
      </w:r>
      <w:r w:rsidR="0015189C" w:rsidRPr="00AC26F8">
        <w:rPr>
          <w:b/>
        </w:rPr>
        <w:t>Fig. 2</w:t>
      </w:r>
      <w:r w:rsidR="008F2860" w:rsidRPr="00AC26F8">
        <w:rPr>
          <w:b/>
        </w:rPr>
        <w:t>E</w:t>
      </w:r>
      <w:r w:rsidR="0015189C" w:rsidRPr="00AC26F8">
        <w:t xml:space="preserve">, upper panel) and </w:t>
      </w:r>
      <w:r w:rsidR="0015189C" w:rsidRPr="00AC26F8">
        <w:rPr>
          <w:i/>
        </w:rPr>
        <w:t>Prevotella</w:t>
      </w:r>
      <w:r w:rsidR="0015189C" w:rsidRPr="00AC26F8">
        <w:t xml:space="preserve"> (</w:t>
      </w:r>
      <w:r w:rsidR="0015189C" w:rsidRPr="00AC26F8">
        <w:rPr>
          <w:b/>
        </w:rPr>
        <w:t>Fig. 2</w:t>
      </w:r>
      <w:r w:rsidR="008F2860" w:rsidRPr="00AC26F8">
        <w:rPr>
          <w:b/>
        </w:rPr>
        <w:t>E</w:t>
      </w:r>
      <w:r w:rsidR="0015189C" w:rsidRPr="00AC26F8">
        <w:t>, lower panel). This finding supports the purpose of unmixing: even healthy people can have significant proportions of oral bacteria in their feces.</w:t>
      </w:r>
    </w:p>
    <w:p w14:paraId="03CFAA97" w14:textId="77777777" w:rsidR="00F10560" w:rsidRPr="00AC26F8" w:rsidRDefault="00F10560" w:rsidP="00A00A4E">
      <w:pPr>
        <w:ind w:firstLine="720"/>
      </w:pPr>
    </w:p>
    <w:p w14:paraId="2F97C3CB" w14:textId="7E72B876" w:rsidR="0015189C" w:rsidRPr="00AC26F8" w:rsidRDefault="0015189C" w:rsidP="00A00A4E">
      <w:r w:rsidRPr="00AC26F8">
        <w:rPr>
          <w:b/>
        </w:rPr>
        <w:t>Validation of model predictions</w:t>
      </w:r>
    </w:p>
    <w:p w14:paraId="3E3B4237" w14:textId="33387AB8" w:rsidR="00345AD6" w:rsidRDefault="0015189C" w:rsidP="00A00A4E">
      <w:r w:rsidRPr="00AC26F8">
        <w:t>The typical composition of the five habitats allowed us to estimate the proportion of oral bacteria in any fecal microbiome sample—without the need of paired oral sample—by using a simple constrained regression (</w:t>
      </w:r>
      <w:r w:rsidRPr="00AC26F8">
        <w:rPr>
          <w:b/>
          <w:bCs/>
        </w:rPr>
        <w:t>Fig. 2</w:t>
      </w:r>
      <w:r w:rsidR="00EA0C1B" w:rsidRPr="00AC26F8">
        <w:rPr>
          <w:b/>
          <w:bCs/>
        </w:rPr>
        <w:t>B</w:t>
      </w:r>
      <w:r w:rsidR="00EA0C1B" w:rsidRPr="00AC26F8">
        <w:t>, lower panel</w:t>
      </w:r>
      <w:r w:rsidRPr="00AC26F8">
        <w:t>). We applied this method to a large-scale dataset containing &gt;10,000 fecal microbiome samples from &gt;1,000 patients</w:t>
      </w:r>
      <w:r w:rsidR="00EA0C1B" w:rsidRPr="00AC26F8">
        <w:t xml:space="preserve"> </w:t>
      </w:r>
      <w:r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Pr="00AC26F8">
        <w:fldChar w:fldCharType="separate"/>
      </w:r>
      <w:r w:rsidR="00D42550" w:rsidRPr="00AC26F8">
        <w:t>(Liao et al., 2021)</w:t>
      </w:r>
      <w:r w:rsidRPr="00AC26F8">
        <w:fldChar w:fldCharType="end"/>
      </w:r>
      <w:r w:rsidRPr="00AC26F8">
        <w:t>. All patients in this dataset (MSK cohort) had hematological diseases including leukemias, lymphomas, and myeloma and underwent allo-HCT at Memorial Sloan-Kettering Cancer Center.</w:t>
      </w:r>
      <w:r w:rsidR="001A3A83" w:rsidRPr="00AC26F8">
        <w:t xml:space="preserve"> </w:t>
      </w:r>
      <w:r w:rsidRPr="00AC26F8">
        <w:t xml:space="preserve"> We validated the predicted oral bacterial fractions using RFC (</w:t>
      </w:r>
      <w:r w:rsidRPr="00AC26F8">
        <w:rPr>
          <w:b/>
          <w:bCs/>
        </w:rPr>
        <w:t xml:space="preserve">Fig. </w:t>
      </w:r>
      <w:r w:rsidR="00A01C54" w:rsidRPr="00AC26F8">
        <w:rPr>
          <w:b/>
          <w:bCs/>
        </w:rPr>
        <w:t>S</w:t>
      </w:r>
      <w:r w:rsidR="00DA2249" w:rsidRPr="00AC26F8">
        <w:rPr>
          <w:b/>
          <w:bCs/>
        </w:rPr>
        <w:t>2</w:t>
      </w:r>
      <w:r w:rsidR="00EA0C1B" w:rsidRPr="00AC26F8">
        <w:rPr>
          <w:b/>
          <w:bCs/>
        </w:rPr>
        <w:t>A</w:t>
      </w:r>
      <w:r w:rsidRPr="00AC26F8">
        <w:t>).</w:t>
      </w:r>
    </w:p>
    <w:p w14:paraId="18C8AAC1" w14:textId="0FB2D189" w:rsidR="005D1AB0" w:rsidRDefault="005D1AB0" w:rsidP="00A00A4E"/>
    <w:p w14:paraId="5A1D367B" w14:textId="3F81B6DE" w:rsidR="005D1AB0" w:rsidRDefault="005D1AB0" w:rsidP="00A00A4E">
      <w:r>
        <w:t>Compared to the AVNM-treated mice in the public study (</w:t>
      </w:r>
      <w:r w:rsidRPr="00786478">
        <w:rPr>
          <w:highlight w:val="yellow"/>
        </w:rPr>
        <w:t>Fig. 2D</w:t>
      </w:r>
      <w:r>
        <w:t xml:space="preserve">), the total bacterial loads in our AVN-treated mice are 2 orders of magnitude higher prior to antibiotic treatment but an order of magnitude lower after antibiotics, suggesting higher potency against gut anaerobes. Since our experiment used smaller doses, this might be explained by </w:t>
      </w:r>
      <w:r w:rsidRPr="00AC26F8">
        <w:t>longer antibiotic treatment</w:t>
      </w:r>
      <w:r>
        <w:t xml:space="preserve"> (7 days vs. 5 days)</w:t>
      </w:r>
      <w:r w:rsidRPr="00AC26F8">
        <w:t>.</w:t>
      </w:r>
    </w:p>
    <w:p w14:paraId="6E513FEF" w14:textId="200954F8" w:rsidR="00CE3B29" w:rsidRDefault="00CE3B29" w:rsidP="00A00A4E"/>
    <w:p w14:paraId="37BFA67B" w14:textId="77777777" w:rsidR="00CE3B29" w:rsidRDefault="00CE3B29" w:rsidP="00CE3B29">
      <w:pPr>
        <w:ind w:firstLine="720"/>
      </w:pPr>
      <w:r>
        <w:t>Interestingly, the total bacterial loads and the oral bacterial fractions in the feces are negatively associated (Pearson’s r = -0.52, P=</w:t>
      </w:r>
      <m:oMath>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-17</m:t>
            </m:r>
          </m:sup>
        </m:sSup>
      </m:oMath>
      <w:r>
        <w:t xml:space="preserve">) on the log scale and follow a linear relationship </w:t>
      </w:r>
      <w:r w:rsidRPr="00AC26F8">
        <w:t>with slope -0.70</w:t>
      </w:r>
      <w:r>
        <w:t xml:space="preserve"> (</w:t>
      </w:r>
      <w:r w:rsidRPr="003E1F12">
        <w:rPr>
          <w:highlight w:val="yellow"/>
        </w:rPr>
        <w:t>Fig. 2D</w:t>
      </w:r>
      <w:r>
        <w:t>)</w:t>
      </w:r>
      <w:r w:rsidRPr="00AC26F8">
        <w:t xml:space="preserve">. </w:t>
      </w:r>
      <w:r>
        <w:t xml:space="preserve">The outliers (samples with low oral bacterial fractions and low total bacterial loads; enclosed by the </w:t>
      </w:r>
      <w:r w:rsidRPr="00AC26F8">
        <w:t>red box</w:t>
      </w:r>
      <w:r>
        <w:t xml:space="preserve"> in </w:t>
      </w:r>
      <w:r w:rsidRPr="000F4452">
        <w:rPr>
          <w:highlight w:val="yellow"/>
        </w:rPr>
        <w:t>Fig. S2</w:t>
      </w:r>
      <w:r w:rsidRPr="00AC26F8">
        <w:t xml:space="preserve">) </w:t>
      </w:r>
      <w:r>
        <w:t xml:space="preserve">were all collected between day 1-6, which correspond to the reduction in the oral bacterial abundance during the same time period (shown in </w:t>
      </w:r>
      <w:r w:rsidRPr="000F4452">
        <w:rPr>
          <w:highlight w:val="yellow"/>
        </w:rPr>
        <w:t>Fig. 2</w:t>
      </w:r>
      <w:proofErr w:type="gramStart"/>
      <w:r w:rsidRPr="000F4452">
        <w:rPr>
          <w:highlight w:val="yellow"/>
        </w:rPr>
        <w:t>B,C</w:t>
      </w:r>
      <w:proofErr w:type="gramEnd"/>
      <w:r>
        <w:t xml:space="preserve">). We suspect that these outliers were artificial due to the unrecognized ASVs of orally translocated bacteria but not covered by filtered-MOMD. </w:t>
      </w:r>
    </w:p>
    <w:p w14:paraId="210D804B" w14:textId="77777777" w:rsidR="00CE3B29" w:rsidRDefault="00CE3B29" w:rsidP="00A00A4E"/>
    <w:p w14:paraId="566002D4" w14:textId="77777777" w:rsidR="005D1AB0" w:rsidRPr="00AC26F8" w:rsidRDefault="005D1AB0" w:rsidP="00A00A4E"/>
    <w:p w14:paraId="3C699037" w14:textId="77777777" w:rsidR="00754377" w:rsidRPr="00AC26F8" w:rsidRDefault="00754377" w:rsidP="00A00A4E">
      <w:pPr>
        <w:ind w:firstLine="720"/>
      </w:pPr>
    </w:p>
    <w:p w14:paraId="05B8B166" w14:textId="2E0D4652" w:rsidR="0015189C" w:rsidRPr="00AC26F8" w:rsidRDefault="0015189C" w:rsidP="00A00A4E">
      <w:pPr>
        <w:rPr>
          <w:b/>
        </w:rPr>
      </w:pPr>
      <w:r w:rsidRPr="00AC26F8">
        <w:rPr>
          <w:b/>
        </w:rPr>
        <w:t xml:space="preserve">Associations with </w:t>
      </w:r>
      <w:r w:rsidR="00183E08" w:rsidRPr="00AC26F8">
        <w:rPr>
          <w:b/>
        </w:rPr>
        <w:t xml:space="preserve">stool consistency, </w:t>
      </w:r>
      <w:r w:rsidRPr="00AC26F8">
        <w:rPr>
          <w:b/>
        </w:rPr>
        <w:t>antibiotic exposure and allo-HCT patient outcomes</w:t>
      </w:r>
    </w:p>
    <w:p w14:paraId="0F320161" w14:textId="404B6502" w:rsidR="00345AD6" w:rsidRPr="00AC26F8" w:rsidRDefault="005245DF" w:rsidP="00A00A4E">
      <w:r w:rsidRPr="00AC26F8">
        <w:t>Stool consistency was looser in allo-HCT patients with higher relative abundance of oral bacteria (</w:t>
      </w:r>
      <w:r w:rsidRPr="00AC26F8">
        <w:rPr>
          <w:b/>
        </w:rPr>
        <w:t>Fig. 3E</w:t>
      </w:r>
      <w:r w:rsidRPr="00AC26F8">
        <w:t xml:space="preserve">). </w:t>
      </w:r>
      <w:r w:rsidR="0015189C" w:rsidRPr="00AC26F8">
        <w:t xml:space="preserve">We </w:t>
      </w:r>
      <w:r w:rsidR="00183E08" w:rsidRPr="00AC26F8">
        <w:t xml:space="preserve">further </w:t>
      </w:r>
      <w:r w:rsidR="0015189C" w:rsidRPr="00AC26F8">
        <w:t>identified two antibacterial antibiotics that were significantly associated with an increased fraction of oral bacteria in fecal samples above 30%</w:t>
      </w:r>
      <w:r w:rsidR="00E24027" w:rsidRPr="00AC26F8">
        <w:t xml:space="preserve"> </w:t>
      </w:r>
      <w:r w:rsidR="0015189C" w:rsidRPr="00AC26F8">
        <w:fldChar w:fldCharType="begin"/>
      </w:r>
      <w:r w:rsidR="00D42550" w:rsidRPr="00AC26F8">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rsidR="0015189C" w:rsidRPr="00AC26F8">
        <w:fldChar w:fldCharType="separate"/>
      </w:r>
      <w:r w:rsidR="00D42550" w:rsidRPr="00AC26F8">
        <w:t>(Taur et al., 2012)</w:t>
      </w:r>
      <w:r w:rsidR="0015189C" w:rsidRPr="00AC26F8">
        <w:fldChar w:fldCharType="end"/>
      </w:r>
      <w:r w:rsidR="0015189C" w:rsidRPr="00AC26F8">
        <w:t>: oral vancomycin and piperacillin/tazobactam (</w:t>
      </w:r>
      <w:r w:rsidR="0015189C" w:rsidRPr="00AC26F8">
        <w:rPr>
          <w:b/>
        </w:rPr>
        <w:t xml:space="preserve">Fig. </w:t>
      </w:r>
      <w:r w:rsidR="00E24027" w:rsidRPr="00AC26F8">
        <w:rPr>
          <w:b/>
        </w:rPr>
        <w:t>3F</w:t>
      </w:r>
      <w:r w:rsidR="0015189C" w:rsidRPr="00AC26F8">
        <w:t>). Intravenous vancomycin showed no association, likely because it fails to reach the GI tract. Piperacillin/tazobactam, a combination of beta-lactam and beta-lactamase inhibitor that can reach the GI tract and have a broad spectrum against many gut bacteria</w:t>
      </w:r>
      <w:r w:rsidR="00E24027" w:rsidRPr="00AC26F8">
        <w:t xml:space="preserve"> </w:t>
      </w:r>
      <w:r w:rsidR="0015189C" w:rsidRPr="00AC26F8">
        <w:fldChar w:fldCharType="begin"/>
      </w:r>
      <w:r w:rsidR="00D42550" w:rsidRPr="00AC26F8">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Immun.","id":"7288714","invisible":false,"issue":"9","issued":{"date-parts":[["2019","9"]]},"journalAbbreviation":"Infect. Immun.","suppress-author":false,"title":"Antibiotic-Induced Shifts in Fecal Microbiota Density and Composition during Hematopoietic Stem Cell Transplantation.","type":"article-journal","volume":"87"}]</w:instrText>
      </w:r>
      <w:r w:rsidR="0015189C" w:rsidRPr="00AC26F8">
        <w:fldChar w:fldCharType="separate"/>
      </w:r>
      <w:r w:rsidR="00D42550" w:rsidRPr="00AC26F8">
        <w:t>(Morjaria et al., 2019)</w:t>
      </w:r>
      <w:r w:rsidR="0015189C" w:rsidRPr="00AC26F8">
        <w:fldChar w:fldCharType="end"/>
      </w:r>
      <w:r w:rsidR="0015189C" w:rsidRPr="00AC26F8">
        <w:t>, had the strongest association. This association was not only apparent in adults receiving allo-HCT but also seen in an independent cohort of pediatric patients</w:t>
      </w:r>
      <w:r w:rsidR="00E24027" w:rsidRPr="00AC26F8">
        <w:t xml:space="preserve"> </w:t>
      </w:r>
      <w:r w:rsidR="0015189C" w:rsidRPr="00AC26F8">
        <w:fldChar w:fldCharType="begin"/>
      </w:r>
      <w:r w:rsidR="00D42550" w:rsidRPr="00AC26F8">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0015189C" w:rsidRPr="00AC26F8">
        <w:fldChar w:fldCharType="separate"/>
      </w:r>
      <w:r w:rsidR="00D42550" w:rsidRPr="00AC26F8">
        <w:t>(Bekker et al., 2019)</w:t>
      </w:r>
      <w:r w:rsidR="0015189C" w:rsidRPr="00AC26F8">
        <w:fldChar w:fldCharType="end"/>
      </w:r>
      <w:r w:rsidR="0015189C" w:rsidRPr="00AC26F8">
        <w:t xml:space="preserve"> (</w:t>
      </w:r>
      <w:r w:rsidR="00E24027" w:rsidRPr="00AC26F8">
        <w:rPr>
          <w:b/>
        </w:rPr>
        <w:t>Fig. S</w:t>
      </w:r>
      <w:r w:rsidR="00E60E8A" w:rsidRPr="00AC26F8">
        <w:rPr>
          <w:b/>
        </w:rPr>
        <w:t>4</w:t>
      </w:r>
      <w:r w:rsidR="0015189C" w:rsidRPr="00AC26F8">
        <w:t xml:space="preserve">). </w:t>
      </w:r>
    </w:p>
    <w:p w14:paraId="3AD33D2A" w14:textId="539C8701" w:rsidR="00345AD6" w:rsidRPr="00AC26F8" w:rsidRDefault="002A7948" w:rsidP="00A00A4E">
      <w:pPr>
        <w:ind w:firstLine="720"/>
      </w:pPr>
      <w:r w:rsidRPr="00AC26F8">
        <w:t>Regarding</w:t>
      </w:r>
      <w:r w:rsidR="0015189C" w:rsidRPr="00AC26F8">
        <w:t xml:space="preserve"> hematopoietic cell transplant outcomes</w:t>
      </w:r>
      <w:r w:rsidRPr="00AC26F8">
        <w:t>,</w:t>
      </w:r>
      <w:r w:rsidR="0015189C" w:rsidRPr="00AC26F8">
        <w:t xml:space="preserve"> the allo-HCT patients with high oral bacteria during the pre-engraftment period had lower overall survival compared to those whose microbiome was mainly composed of gut-resident bacteria (</w:t>
      </w:r>
      <w:r w:rsidR="0015189C" w:rsidRPr="00AC26F8">
        <w:rPr>
          <w:b/>
        </w:rPr>
        <w:t>Fig. 3</w:t>
      </w:r>
      <w:r w:rsidR="00F6270E" w:rsidRPr="00AC26F8">
        <w:rPr>
          <w:b/>
        </w:rPr>
        <w:t>G</w:t>
      </w:r>
      <w:r w:rsidR="0015189C" w:rsidRPr="00AC26F8">
        <w:t xml:space="preserve">). Although the mechanism underlying this association is unclear, existing </w:t>
      </w:r>
      <w:r w:rsidR="0098287D" w:rsidRPr="00AC26F8">
        <w:t>evidence</w:t>
      </w:r>
      <w:r w:rsidR="0015189C" w:rsidRPr="00AC26F8">
        <w:t xml:space="preserve"> suggest against bloodstream infections (BSIs) by ectopic oral bacteria: Oral-typical bacteria only caused 5 infection cases (all </w:t>
      </w:r>
      <w:r w:rsidR="0015189C" w:rsidRPr="00AC26F8">
        <w:rPr>
          <w:i/>
        </w:rPr>
        <w:t>Streptococcus spp.</w:t>
      </w:r>
      <w:r w:rsidR="0015189C" w:rsidRPr="00AC26F8">
        <w:t xml:space="preserve">) in 5 patients during </w:t>
      </w:r>
      <w:proofErr w:type="gramStart"/>
      <w:r w:rsidR="0015189C" w:rsidRPr="00AC26F8">
        <w:t>transplantation</w:t>
      </w:r>
      <w:proofErr w:type="gramEnd"/>
      <w:r w:rsidR="0015189C" w:rsidRPr="00AC26F8">
        <w:t xml:space="preserve"> and none were preceded by intestinal </w:t>
      </w:r>
      <w:r w:rsidR="0015189C" w:rsidRPr="00AC26F8">
        <w:rPr>
          <w:i/>
        </w:rPr>
        <w:t xml:space="preserve">Streptococcus </w:t>
      </w:r>
      <w:r w:rsidR="0015189C" w:rsidRPr="00AC26F8">
        <w:t>domination (</w:t>
      </w:r>
      <w:r w:rsidR="0015189C" w:rsidRPr="00AC26F8">
        <w:rPr>
          <w:b/>
        </w:rPr>
        <w:t xml:space="preserve">Table </w:t>
      </w:r>
      <w:r w:rsidR="00F6270E" w:rsidRPr="00AC26F8">
        <w:rPr>
          <w:b/>
        </w:rPr>
        <w:t>S</w:t>
      </w:r>
      <w:r w:rsidR="0015189C" w:rsidRPr="00AC26F8">
        <w:rPr>
          <w:b/>
        </w:rPr>
        <w:t>3</w:t>
      </w:r>
      <w:r w:rsidR="0015189C" w:rsidRPr="00AC26F8">
        <w:t xml:space="preserve">). The loss of gut bacteria may actually preclude microbiota dominations by true pathogens—such as </w:t>
      </w:r>
      <w:r w:rsidR="0015189C" w:rsidRPr="00AC26F8">
        <w:rPr>
          <w:i/>
        </w:rPr>
        <w:t>Enterococcus</w:t>
      </w:r>
      <w:r w:rsidR="0015189C" w:rsidRPr="00AC26F8">
        <w:t>—and reduce the risk for the development of BSI caused by gut-to-blood transmission</w:t>
      </w:r>
      <w:r w:rsidR="00F6270E" w:rsidRPr="00AC26F8">
        <w:t xml:space="preserve"> </w:t>
      </w:r>
      <w:r w:rsidR="0015189C" w:rsidRPr="00AC26F8">
        <w:fldChar w:fldCharType="begin"/>
      </w:r>
      <w:r w:rsidR="00D42550" w:rsidRPr="00AC26F8">
        <w:instrText>ADDIN F1000_CSL_CITATION&lt;~#@#~&gt;[{"DOI":"10.1038/s41591-018-0202-8","First":false,"Last":false,"PMCID":"PMC6289251","PMID":"30323331","abstract":"A comprehensive evaluation of every patient with a bloodstream infection includes an attempt to identify the infectious source. Pathogens can originate from various places, such as the gut microbiota, skin and the external environment. Identifying the definitive origin of an infection would enable precise interventions focused on management of the source1,2. Unfortunately, hospital infection control practices are often informed by assumptions about the source of various specific pathogens; if these assumptions are incorrect, they lead to interventions that do not decrease pathogen exposure3. Here, we develop and apply a streamlined bioinformatic tool, named StrainSifter, to match bloodstream pathogens precisely to a candidate source. We then leverage this approach to interrogate the gut microbiota as a potential reservoir of bloodstream pathogens in a cohort of hematopoietic cell transplantation recipients. We find that patients with Escherichia coli and Klebsiella pneumoniae bloodstream infections have concomitant gut colonization with these organisms, suggesting that the gut may be a source of these infections. We also find cases where typically nonenteric pathogens, such as Pseudomonas aeruginosa and Staphylococcus epidermidis, are found in the gut microbiota, thereby challenging the existing informal dogma of these infections originating from environmental or skin sources. Thus, we present an approach to distinguish the source of various bloodstream infections, which may facilitate more accurate tracking and prevention of hospital-acquired infections.","author":[{"family":"Tamburini","given":"Fiona B"},{"family":"Andermann","given":"Tessa M"},{"family":"Tkachenko","given":"Ekaterina"},{"family":"Senchyna","given":"Fiona"},{"family":"Banaei","given":"Niaz"},{"family":"Bhatt","given":"Ami S"}],"authorYearDisplayFormat":false,"citation-label":"5887395","container-title":"Nature Medicine","container-title-short":"Nat. Med.","id":"5887395","invisible":false,"issue":"12","issued":{"date-parts":[["2018","12"]]},"journalAbbreviation":"Nat. Med.","page":"1809-1814","suppress-author":false,"title":"Precision identification of diverse bloodstream pathogens in the gut microbiome.","type":"article-journal","volume":"24"}]</w:instrText>
      </w:r>
      <w:r w:rsidR="0015189C" w:rsidRPr="00AC26F8">
        <w:fldChar w:fldCharType="separate"/>
      </w:r>
      <w:r w:rsidR="00D42550" w:rsidRPr="00AC26F8">
        <w:t>(Tamburini et al., 2018)</w:t>
      </w:r>
      <w:r w:rsidR="0015189C" w:rsidRPr="00AC26F8">
        <w:fldChar w:fldCharType="end"/>
      </w:r>
      <w:r w:rsidR="0015189C" w:rsidRPr="00AC26F8">
        <w:t xml:space="preserve"> (</w:t>
      </w:r>
      <w:r w:rsidR="0015189C" w:rsidRPr="00AC26F8">
        <w:rPr>
          <w:b/>
        </w:rPr>
        <w:t>Fig. 3</w:t>
      </w:r>
      <w:r w:rsidR="00F6270E" w:rsidRPr="00AC26F8">
        <w:rPr>
          <w:b/>
        </w:rPr>
        <w:t>H</w:t>
      </w:r>
      <w:r w:rsidR="0015189C" w:rsidRPr="00AC26F8">
        <w:t xml:space="preserve">). Unlike oral bacteria domination states, </w:t>
      </w:r>
      <w:r w:rsidR="0015189C" w:rsidRPr="00AC26F8">
        <w:rPr>
          <w:i/>
        </w:rPr>
        <w:t>Enterococcus</w:t>
      </w:r>
      <w:r w:rsidR="0015189C" w:rsidRPr="00AC26F8">
        <w:t xml:space="preserve"> dominations represent true blooms since a high relative abundance positively correlates with a high total bacterial density (</w:t>
      </w:r>
      <w:r w:rsidR="0015189C" w:rsidRPr="00AC26F8">
        <w:rPr>
          <w:b/>
        </w:rPr>
        <w:t xml:space="preserve">Fig. </w:t>
      </w:r>
      <w:r w:rsidR="008D4E7F" w:rsidRPr="00AC26F8">
        <w:rPr>
          <w:b/>
        </w:rPr>
        <w:t>S</w:t>
      </w:r>
      <w:r w:rsidR="00965A62" w:rsidRPr="00AC26F8">
        <w:rPr>
          <w:b/>
        </w:rPr>
        <w:t>3</w:t>
      </w:r>
      <w:r w:rsidR="008D4E7F" w:rsidRPr="00AC26F8">
        <w:rPr>
          <w:b/>
        </w:rPr>
        <w:t>F</w:t>
      </w:r>
      <w:r w:rsidR="0015189C" w:rsidRPr="00AC26F8">
        <w:t>).</w:t>
      </w:r>
    </w:p>
    <w:p w14:paraId="3EF4D831" w14:textId="29653D7D" w:rsidR="0015189C" w:rsidRPr="00AC26F8" w:rsidRDefault="0015189C" w:rsidP="00A00A4E">
      <w:pPr>
        <w:ind w:firstLine="720"/>
      </w:pPr>
      <w:r w:rsidRPr="00AC26F8">
        <w:t>Finally, the fecal samples with higher proportion of oral bacteria tended to have higher fungal densities (</w:t>
      </w:r>
      <w:r w:rsidRPr="00AC26F8">
        <w:rPr>
          <w:b/>
        </w:rPr>
        <w:t>Fig. 3</w:t>
      </w:r>
      <w:r w:rsidR="008D4E7F" w:rsidRPr="00AC26F8">
        <w:rPr>
          <w:b/>
        </w:rPr>
        <w:t>I</w:t>
      </w:r>
      <w:r w:rsidRPr="00AC26F8">
        <w:rPr>
          <w:bCs/>
        </w:rPr>
        <w:t>,</w:t>
      </w:r>
      <w:r w:rsidRPr="00AC26F8">
        <w:rPr>
          <w:b/>
        </w:rPr>
        <w:t xml:space="preserve"> </w:t>
      </w:r>
      <w:r w:rsidR="008D4E7F" w:rsidRPr="00AC26F8">
        <w:rPr>
          <w:b/>
        </w:rPr>
        <w:t>S</w:t>
      </w:r>
      <w:r w:rsidR="00E04357" w:rsidRPr="00AC26F8">
        <w:rPr>
          <w:b/>
        </w:rPr>
        <w:t>3</w:t>
      </w:r>
      <w:r w:rsidR="008D4E7F" w:rsidRPr="00AC26F8">
        <w:rPr>
          <w:b/>
        </w:rPr>
        <w:t>G</w:t>
      </w:r>
      <w:r w:rsidRPr="00AC26F8">
        <w:t xml:space="preserve">), suggesting that fungi could expand to fill the niche left open by the loss of gut bacteria. The gut colonization and overgrowth of fungal pathogens such as </w:t>
      </w:r>
      <w:r w:rsidRPr="00AC26F8">
        <w:rPr>
          <w:i/>
        </w:rPr>
        <w:t xml:space="preserve">Candida parapsilosis </w:t>
      </w:r>
      <w:r w:rsidRPr="00AC26F8">
        <w:t>typically occurs when gut bacteria are depleted, consistent with the finding that gut-resident bacteria can protect against fungal blooms and infection</w:t>
      </w:r>
      <w:r w:rsidR="00DE58B2" w:rsidRPr="00AC26F8">
        <w:t xml:space="preserve"> </w:t>
      </w:r>
      <w:r w:rsidRPr="00AC26F8">
        <w:fldChar w:fldCharType="begin"/>
      </w:r>
      <w:r w:rsidR="00D42550" w:rsidRPr="00AC26F8">
        <w:instrText>ADDIN F1000_CSL_CITATION&lt;~#@#~&gt;[{"DOI":"10.1038/s41564-021-00989-7","First":false,"Last":false,"PMID":"34764444","abstract":"Allogeneic haematopoietic cell transplantation (allo-HCT) induces profound shifts in the intestinal bacterial microbiota. The dynamics of intestinal fungi and their impact on clinical outcomes during allo-HCT are not fully understood. Here we combined parallel high-throughput fungal ITS1 amplicon sequencing, bacterial 16S amplicon sequencing and fungal cultures of 1,279 faecal samples from a cohort of 156 patients undergoing allo-HCT to reveal potential trans-kingdom dynamics and their association with patient outcomes. We saw that the overall density and the biodiversity of intestinal fungi were stable during allo-HCT but the species composition changed drastically from day to day. We identified a subset of patients with fungal dysbiosis defined by culture positivity (n = 53) and stable expansion of Candida parapsilosis complex species (n = 19). They presented with distinct trans-kingdom microbiota profiles, characterized by a decreased intestinal bacterial biomass. These patients had worse overall survival and higher transplant-related mortality independent of candidaemia. This expands our understanding of the clinical significance of the mycobiota and suggests that targeting fungal dysbiosis may help to improve long-term patient survival.&lt;br&gt;&lt;br&gt;© 2021. The Author(s), under exclusive licence to Springer Nature Limited.","author":[{"family":"Rolling","given":"Thierry"},{"family":"Zhai","given":"Bing"},{"family":"Gjonbalaj","given":"Mergim"},{"family":"Tosini","given":"Nicholas"},{"family":"Yasuma-Mitobe","given":"Keiko"},{"family":"Fontana","given":"Emily"},{"family":"Amoretti","given":"Luigi A"},{"family":"Wright","given":"Roberta J"},{"family":"Ponce","given":"Doris M"},{"family":"Perales","given":"Miguel A"},{"family":"Xavier","given":"Joao B"},{"family":"van den Brink","given":"Marcel R M"},{"family":"Markey","given":"Kate A"},{"family":"Peled","given":"Jonathan U"},{"family":"Taur","given":"Ying"},{"family":"Hohl","given":"Tobias M"}],"authorYearDisplayFormat":false,"citation-label":"12004582","container-title":"Nature Microbiology","container-title-short":"Nat. Microbiol.","id":"12004582","invisible":false,"issued":{"date-parts":[["2021","11","11"]]},"journalAbbreviation":"Nat. Microbiol.","suppress-author":false,"title":"Haematopoietic cell transplantation outcomes are linked to intestinal mycobiota dynamics and an expansion of Candida parapsilosis complex species.","type":"article-journal"},{"DOI":"10.1038/s41591-019-0709-7","First":false,"Last":false,"PMCID":"PMC7005909","PMID":"31907459","abstract":"The intestinal microbiota is a complex community of bacteria, archaea, viruses, protists and fungi1,2. Although the composition of bacterial constituents has been linked to immune homeostasis and infectious susceptibility3-7, the role of non-bacterial constituents and cross-kingdom microbial interactions in these processes is poorly understood2,8. Fungi represent a major cause of infectious morbidity and mortality in immunocompromised individuals, although the relationship of intestinal fungi (that is, the mycobiota) with fungal bloodstream infections remains undefined9. We integrated an optimized bioinformatics pipeline with high-resolution mycobiota sequencing and comparative genomic analyses of fecal and blood specimens from recipients of allogeneic hematopoietic cell transplant. Patients with Candida bloodstream infection experienced a prior marked intestinal expansion of pathogenic Candida species; this expansion consisted of a complex dynamic between multiple species and subspecies with a stochastic translocation pattern into the bloodstream. The intestinal expansion of pathogenic Candida spp. was associated with a substantial loss in bacterial burden and diversity, particularly in the anaerobes. Thus, simultaneous analysis of intestinal fungi and bacteria identifies dysbiosis states across kingdoms that may promote fungal translocation and facilitate invasive disease. These findings support microbiota-driven approaches to identify patients at risk of fungal bloodstream infections for pre-emptive therapeutic intervention.","author":[{"family":"Zhai","given":"Bing"},{"family":"Ola","given":"Mihaela"},{"family":"Rolling","given":"Thierry"},{"family":"Tosini","given":"Nicholas L"},{"family":"Joshowitz","given":"Sari"},{"family":"Littmann","given":"Eric R"},{"family":"Amoretti","given":"Luigi A"},{"family":"Fontana","given":"Emily"},{"family":"Wright","given":"Roberta J"},{"family":"Miranda","given":"Edwin"},{"family":"Veelken","given":"Charlotte A"},{"family":"Morjaria","given":"Sejal M"},{"family":"Peled","given":"Jonathan U"},{"family":"van den Brink","given":"Marcel R M"},{"family":"Babady","given":"N Esther"},{"family":"Butler","given":"Geraldine"},{"family":"Taur","given":"Ying"},{"family":"Hohl","given":"Tobias M"}],"authorYearDisplayFormat":false,"citation-label":"8046480","container-title":"Nature Medicine","container-title-short":"Nat. Med.","id":"8046480","invisible":false,"issue":"1","issued":{"date-parts":[["2020","1","6"]]},"journalAbbreviation":"Nat. Med.","page":"59-64","suppress-author":false,"title":"High-resolution mycobiota analysis reveals dynamic intestinal translocation preceding invasive candidiasis.","type":"article-journal","volume":"26"}]</w:instrText>
      </w:r>
      <w:r w:rsidRPr="00AC26F8">
        <w:fldChar w:fldCharType="separate"/>
      </w:r>
      <w:r w:rsidR="00D42550" w:rsidRPr="00AC26F8">
        <w:rPr>
          <w:noProof/>
        </w:rPr>
        <w:t>(Rolling et al., 2021; Zhai et al., 2020)</w:t>
      </w:r>
      <w:r w:rsidRPr="00AC26F8">
        <w:fldChar w:fldCharType="end"/>
      </w:r>
      <w:r w:rsidRPr="00AC26F8">
        <w:t xml:space="preserve">. </w:t>
      </w:r>
    </w:p>
    <w:p w14:paraId="018BB340" w14:textId="77777777" w:rsidR="0015189C" w:rsidRPr="00AC26F8" w:rsidRDefault="0015189C" w:rsidP="00A00A4E">
      <w:pPr>
        <w:rPr>
          <w:b/>
        </w:rPr>
      </w:pPr>
    </w:p>
    <w:p w14:paraId="67684822" w14:textId="57A62AFF" w:rsidR="0015189C" w:rsidRDefault="0015189C" w:rsidP="00A00A4E">
      <w:pPr>
        <w:rPr>
          <w:b/>
        </w:rPr>
      </w:pPr>
      <w:r w:rsidRPr="00AC26F8">
        <w:rPr>
          <w:b/>
        </w:rPr>
        <w:t>Generalization to other patient cohorts</w:t>
      </w:r>
    </w:p>
    <w:p w14:paraId="1CCC662F" w14:textId="3A69F067" w:rsidR="00866DB6" w:rsidRDefault="00866DB6" w:rsidP="00A00A4E">
      <w:r w:rsidRPr="00AC26F8">
        <w:t xml:space="preserve">Supporting the </w:t>
      </w:r>
      <w:r w:rsidRPr="00AC26F8">
        <w:rPr>
          <w:i/>
          <w:iCs/>
        </w:rPr>
        <w:t xml:space="preserve">marker </w:t>
      </w:r>
      <w:r w:rsidRPr="00AC26F8">
        <w:t>hypothesis, another key characteristic of IBD besides the relative enrichment of oral bacteria is the reduced density of the gut bacterial populatio</w:t>
      </w:r>
      <w:r>
        <w:t>n</w:t>
      </w:r>
      <w:r w:rsidRPr="00AC26F8">
        <w:t>. This observation suggests that the apparent rise in relative abundance of oral bacteria in human feces may simply indicate a loss of the gut bacterial density.</w:t>
      </w:r>
    </w:p>
    <w:p w14:paraId="0D387510" w14:textId="77777777" w:rsidR="00866DB6" w:rsidRPr="00AC26F8" w:rsidRDefault="00866DB6" w:rsidP="00A00A4E">
      <w:pPr>
        <w:rPr>
          <w:b/>
        </w:rPr>
      </w:pPr>
    </w:p>
    <w:p w14:paraId="0C7B70EE" w14:textId="0E9CAAE5" w:rsidR="00345AD6" w:rsidRPr="00AC26F8" w:rsidRDefault="0015189C" w:rsidP="00A00A4E">
      <w:r w:rsidRPr="00AC26F8">
        <w:t xml:space="preserve">We next validated the quantitative relationship between oral bacteria in feces and gut bacterial density for three GI diseases (Crohn’s disease (CD), Ulcerative colitis (UC), and </w:t>
      </w:r>
      <w:r w:rsidRPr="00AC26F8">
        <w:rPr>
          <w:i/>
        </w:rPr>
        <w:t xml:space="preserve">Clostridioides </w:t>
      </w:r>
      <w:r w:rsidRPr="00AC26F8">
        <w:rPr>
          <w:i/>
        </w:rPr>
        <w:lastRenderedPageBreak/>
        <w:t>difficile</w:t>
      </w:r>
      <w:r w:rsidRPr="00AC26F8">
        <w:t xml:space="preserve"> infection (CDI)) using the Mount Sinai cohort</w:t>
      </w:r>
      <w:r w:rsidR="00DE58B2" w:rsidRPr="00AC26F8">
        <w:t xml:space="preserve"> </w:t>
      </w:r>
      <w:r w:rsidRPr="00AC26F8">
        <w:fldChar w:fldCharType="begin"/>
      </w:r>
      <w:r w:rsidR="00D42550" w:rsidRPr="00AC26F8">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Pr="00AC26F8">
        <w:fldChar w:fldCharType="separate"/>
      </w:r>
      <w:r w:rsidR="00D42550" w:rsidRPr="00AC26F8">
        <w:t>(Contijoch et al., 2019)</w:t>
      </w:r>
      <w:r w:rsidRPr="00AC26F8">
        <w:fldChar w:fldCharType="end"/>
      </w:r>
      <w:r w:rsidRPr="00AC26F8">
        <w:t xml:space="preserve"> and the LUMC cohort</w:t>
      </w:r>
      <w:r w:rsidR="00DE58B2" w:rsidRPr="00AC26F8">
        <w:t xml:space="preserve"> </w:t>
      </w:r>
      <w:r w:rsidRPr="00AC26F8">
        <w:fldChar w:fldCharType="begin"/>
      </w:r>
      <w:r w:rsidR="00D42550" w:rsidRPr="00AC26F8">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Pr="00AC26F8">
        <w:fldChar w:fldCharType="separate"/>
      </w:r>
      <w:r w:rsidR="00D42550" w:rsidRPr="00AC26F8">
        <w:t>(Bekker et al., 2019)</w:t>
      </w:r>
      <w:r w:rsidRPr="00AC26F8">
        <w:fldChar w:fldCharType="end"/>
      </w:r>
      <w:r w:rsidRPr="00AC26F8">
        <w:t xml:space="preserve"> which had measurements of microbiome density. Previous studies reported</w:t>
      </w:r>
      <w:r w:rsidR="007D55AD" w:rsidRPr="00AC26F8">
        <w:t>, separately,</w:t>
      </w:r>
      <w:r w:rsidRPr="00AC26F8">
        <w:t xml:space="preserve"> relative expansion of oral bacteria in the gut microbiome and lower microbiome density in </w:t>
      </w:r>
      <w:r w:rsidR="005A6747" w:rsidRPr="00AC26F8">
        <w:t xml:space="preserve">both CD and UC </w:t>
      </w:r>
      <w:r w:rsidRPr="00AC26F8">
        <w:t>patients</w:t>
      </w:r>
      <w:r w:rsidR="00DE58B2" w:rsidRPr="00AC26F8">
        <w:t xml:space="preserve"> </w:t>
      </w:r>
      <w:r w:rsidRPr="00AC26F8">
        <w:fldChar w:fldCharType="begin"/>
      </w:r>
      <w:r w:rsidR="00D42550" w:rsidRPr="00AC26F8">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factors.","type":"article-journal","volume":"8"},{"DOI":"10.1038/s41575-021-00488-4","First":false,"Last":false,"PMID":"34400822","abstract":"Over the past two decades, the importance of the microbiota in health and disease has become evident. Pathological changes to the oral bacterial microbiota, such as those occurring during periodontal disease, are associated with multiple inflammatory conditions, including inflammatory bowel disease. However, the degree to which this association is a consequence of elevated oral inflammation or because oral bacteria can directly drive inflammation at distal sites remains under debate. In this Perspective, we propose that in inflammatory bowel disease, oral disease-associated bacteria translocate to the intestine and directly exacerbate disease. We propose a multistage model that involves pathological changes to the microbial and immune compartments of both the oral cavity and intestine. The evidence to support this hypothesis is critically evaluated and the relevance to other diseases in which oral bacteria have been implicated (including colorectal cancer and liver disease) are discussed.&lt;br&gt;&lt;br&gt;© 2021. Springer Nature Limited.","author":[{"family":"Read","given":"Emily"},{"family":"Curtis","given":"Michael A"},{"family":"Neves","given":"Joana F"}],"authorYearDisplayFormat":false,"citation-label":"11574265","container-title":"Nature Reviews. Gastroenterology &amp; Hepatology","container-title-short":"Nat. Rev. Gastroenterol. Hepatol.","id":"11574265","invisible":false,"issue":"10","issued":{"date-parts":[["2021","10"]]},"journalAbbreviation":"Nat. Rev. Gastroenterol. Hepatol.","page":"731-742","suppress-author":false,"title":"The role of oral bacteria in inflammatory bowel disease.","type":"article-journal","volume":"18"},{"DOI":"10.1038/nature24460","First":false,"Last":false,"PMID":"29143816","abstract":"Current sequencing-based analyses of faecal microbiota quantify microbial taxa and metabolic pathways as fractions of the sample sequence library generated by each analysis. Although these relative approaches permit detection of disease-associated microbiome variation, they are limited in their ability to reveal the interplay between microbiota and host health. Comparative analyses of relative microbiome data cannot provide information about the extent or directionality of changes in taxa abundance or metabolic potential. If microbial load varies substantially between samples, relative profiling will hamper attempts to link microbiome features to quantitative data such as physiological parameters or metabolite concentrations. Saliently, relative approaches ignore the possibility that altered overall microbiota abundance itself could be a key identifier of a disease-associated ecosystem configuration. To enable genuine characterization of host-microbiota interactions, microbiome research must exchange ratios for counts. Here we build a workflow for the quantitative microbiome profiling of faecal material, through parallelization of amplicon sequencing and flow cytometric enumeration of microbial cells. We observe up to tenfold differences in the microbial loads of healthy individuals and relate this variation to enterotype differentiation. We show how microbial abundances underpin both microbiota variation between individuals and covariation with host phenotype. Quantitative profiling bypasses compositionality effects in the reconstruction of gut microbiota interaction networks and reveals that the taxonomic trade-off between Bacteroides and Prevotella is an artefact of relative microbiome analyses. Finally, we identify microbial load as a key driver of observed microbiota alterations in a cohort of patients with Crohn's disease, here associated with a low-cell-count Bacteroides enterotype (as defined through relative profiling).","author":[{"family":"Vandeputte","given":"Doris"},{"family":"Kathagen","given":"Gunter"},{"family":"D'hoe","given":"Kevin"},{"family":"Vieira-Silva","given":"Sara"},{"family":"Valles-Colomer","given":"Mireia"},{"family":"Sabino","given":"João"},{"family":"Wang","given":"Jun"},{"family":"Tito","given":"Raul Y"},{"family":"De Commer","given":"Lindsey"},{"family":"Darzi","given":"Youssef"},{"family":"Vermeire","given":"Séverine"},{"family":"Falony","given":"Gwen"},{"family":"Raes","given":"Jeroen"}],"authorYearDisplayFormat":false,"citation-label":"4508462","container-title":"Nature","container-title-short":"Nature","id":"4508462","invisible":false,"issue":"7681","issued":{"date-parts":[["2017","11","23"]]},"journalAbbreviation":"Nature","page":"507-511","suppress-author":false,"title":"Quantitative microbiome profiling links gut community variation to microbial load.","type":"article-journal","volume":"551"}]</w:instrText>
      </w:r>
      <w:r w:rsidRPr="00AC26F8">
        <w:fldChar w:fldCharType="separate"/>
      </w:r>
      <w:r w:rsidR="00D42550" w:rsidRPr="00AC26F8">
        <w:rPr>
          <w:noProof/>
        </w:rPr>
        <w:t>(Contijoch et al., 2019; Read et al., 2021; Vandeputte et al., 2017)</w:t>
      </w:r>
      <w:r w:rsidRPr="00AC26F8">
        <w:fldChar w:fldCharType="end"/>
      </w:r>
      <w:r w:rsidRPr="00AC26F8">
        <w:t xml:space="preserve">. Our study links the two signatures by showing a negative interdependence between each other (slope=-0.26, </w:t>
      </w:r>
      <w:r w:rsidRPr="00AC26F8">
        <w:rPr>
          <w:i/>
        </w:rPr>
        <w:t>P</w:t>
      </w:r>
      <w:r w:rsidRPr="00AC26F8">
        <w:t>&lt;0.001 for the Mount Sinai cohort; slope=-0.25,</w:t>
      </w:r>
      <w:r w:rsidRPr="00AC26F8">
        <w:rPr>
          <w:i/>
        </w:rPr>
        <w:t xml:space="preserve"> P</w:t>
      </w:r>
      <w:r w:rsidRPr="00AC26F8">
        <w:t xml:space="preserve">=0.04 for the LUMC cohort) using data with oral bacteria </w:t>
      </w:r>
      <m:oMath>
        <m:r>
          <w:rPr>
            <w:rFonts w:ascii="Cambria Math" w:hAnsi="Cambria Math"/>
          </w:rPr>
          <m:t>≥</m:t>
        </m:r>
      </m:oMath>
      <w:r w:rsidRPr="00AC26F8">
        <w:t>3.4% (</w:t>
      </w:r>
      <w:r w:rsidRPr="00AC26F8">
        <w:rPr>
          <w:b/>
          <w:bCs/>
        </w:rPr>
        <w:t>Fig. 4</w:t>
      </w:r>
      <w:proofErr w:type="gramStart"/>
      <w:r w:rsidR="00DE58B2" w:rsidRPr="00AC26F8">
        <w:rPr>
          <w:b/>
          <w:bCs/>
        </w:rPr>
        <w:t>A</w:t>
      </w:r>
      <w:r w:rsidR="00DE58B2" w:rsidRPr="00AC26F8">
        <w:t>,</w:t>
      </w:r>
      <w:r w:rsidR="00DE58B2" w:rsidRPr="00AC26F8">
        <w:rPr>
          <w:b/>
          <w:bCs/>
        </w:rPr>
        <w:t>B</w:t>
      </w:r>
      <w:proofErr w:type="gramEnd"/>
      <w:r w:rsidRPr="00AC26F8">
        <w:t>). Oral bacteria from habitat 1 but not habitat 2 significantly contributed to the correlation (</w:t>
      </w:r>
      <w:r w:rsidRPr="00AC26F8">
        <w:rPr>
          <w:b/>
        </w:rPr>
        <w:t xml:space="preserve">Fig. </w:t>
      </w:r>
      <w:r w:rsidR="00DE58B2" w:rsidRPr="00AC26F8">
        <w:rPr>
          <w:b/>
        </w:rPr>
        <w:t>S</w:t>
      </w:r>
      <w:r w:rsidR="00D315A9" w:rsidRPr="00AC26F8">
        <w:rPr>
          <w:b/>
        </w:rPr>
        <w:t>5</w:t>
      </w:r>
      <w:r w:rsidRPr="00AC26F8">
        <w:t xml:space="preserve">). Notably, the negative association remained significant (slope=-0.22, </w:t>
      </w:r>
      <w:r w:rsidRPr="00AC26F8">
        <w:rPr>
          <w:i/>
        </w:rPr>
        <w:t>P</w:t>
      </w:r>
      <w:r w:rsidRPr="00AC26F8">
        <w:t>=0.018) after excluding patients with prior antibiotics or an unclear antibiotic history in the Mount Sinai cohort (</w:t>
      </w:r>
      <w:r w:rsidRPr="00AC26F8">
        <w:rPr>
          <w:b/>
        </w:rPr>
        <w:t xml:space="preserve">Fig. </w:t>
      </w:r>
      <w:r w:rsidR="005B594C" w:rsidRPr="00AC26F8">
        <w:rPr>
          <w:b/>
        </w:rPr>
        <w:t>S</w:t>
      </w:r>
      <w:r w:rsidR="00D315A9" w:rsidRPr="00AC26F8">
        <w:rPr>
          <w:b/>
        </w:rPr>
        <w:t>6</w:t>
      </w:r>
      <w:r w:rsidR="00CF1A60" w:rsidRPr="00AC26F8">
        <w:rPr>
          <w:b/>
        </w:rPr>
        <w:t>A</w:t>
      </w:r>
      <w:r w:rsidRPr="00AC26F8">
        <w:t xml:space="preserve">), indicating the relationship is independent of antibiotic exposure. </w:t>
      </w:r>
    </w:p>
    <w:p w14:paraId="2E6ED72F" w14:textId="5B02AF72" w:rsidR="006106B2" w:rsidRPr="00AC26F8" w:rsidRDefault="0015189C" w:rsidP="00A00A4E">
      <w:pPr>
        <w:ind w:firstLine="720"/>
      </w:pPr>
      <w:r w:rsidRPr="00AC26F8">
        <w:t xml:space="preserve">We also assessed the generality of the associations of oral bacterial fraction in feces with disease status, antibiotic exposure, and gut fungal growth in patients with the three GI diseases. Re-analyzing multiple case-control cohort studies </w:t>
      </w:r>
      <w:r w:rsidR="00D8645E" w:rsidRPr="00AC26F8">
        <w:t>confirmed known</w:t>
      </w:r>
      <w:r w:rsidRPr="00AC26F8">
        <w:t xml:space="preserve"> associations</w:t>
      </w:r>
      <w:r w:rsidR="00D8645E" w:rsidRPr="00AC26F8">
        <w:t xml:space="preserve"> </w:t>
      </w:r>
      <w:r w:rsidRPr="00AC26F8">
        <w:t>between the fecal proportion of oral cavity bacteria and disease status</w:t>
      </w:r>
      <w:r w:rsidR="00D8645E" w:rsidRPr="00AC26F8">
        <w:t>,</w:t>
      </w:r>
      <w:r w:rsidRPr="00AC26F8">
        <w:t xml:space="preserve"> including CD (</w:t>
      </w:r>
      <w:r w:rsidRPr="00AC26F8">
        <w:rPr>
          <w:i/>
        </w:rPr>
        <w:t>P</w:t>
      </w:r>
      <w:r w:rsidRPr="00AC26F8">
        <w:t>=0.029) and UC (</w:t>
      </w:r>
      <w:r w:rsidRPr="00AC26F8">
        <w:rPr>
          <w:i/>
        </w:rPr>
        <w:t>P</w:t>
      </w:r>
      <w:r w:rsidRPr="00AC26F8">
        <w:t>=0.037) patients in the PRISM, LifeLines DEEP and NLIBD cohorts</w:t>
      </w:r>
      <w:r w:rsidR="005B594C" w:rsidRPr="00AC26F8">
        <w:t xml:space="preserve"> </w:t>
      </w:r>
      <w:r w:rsidRPr="00AC26F8">
        <w:fldChar w:fldCharType="begin"/>
      </w:r>
      <w:r w:rsidR="00D42550" w:rsidRPr="00AC26F8">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Pr="00AC26F8">
        <w:fldChar w:fldCharType="separate"/>
      </w:r>
      <w:r w:rsidR="00D42550" w:rsidRPr="00AC26F8">
        <w:t>(Franzosa et al., 2019)</w:t>
      </w:r>
      <w:r w:rsidRPr="00AC26F8">
        <w:fldChar w:fldCharType="end"/>
      </w:r>
      <w:r w:rsidRPr="00AC26F8">
        <w:t xml:space="preserve"> (</w:t>
      </w:r>
      <w:r w:rsidRPr="00AC26F8">
        <w:rPr>
          <w:b/>
        </w:rPr>
        <w:t>Fig. 4</w:t>
      </w:r>
      <w:r w:rsidR="005B594C" w:rsidRPr="00AC26F8">
        <w:rPr>
          <w:b/>
        </w:rPr>
        <w:t>C</w:t>
      </w:r>
      <w:r w:rsidRPr="00AC26F8">
        <w:t>), CDI patients in the UMH cohort</w:t>
      </w:r>
      <w:r w:rsidR="005B594C" w:rsidRPr="00AC26F8">
        <w:t xml:space="preserve"> </w:t>
      </w:r>
      <w:r w:rsidRPr="00AC26F8">
        <w:fldChar w:fldCharType="begin"/>
      </w:r>
      <w:r w:rsidR="00D42550" w:rsidRPr="00AC26F8">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Pr="00AC26F8">
        <w:fldChar w:fldCharType="separate"/>
      </w:r>
      <w:r w:rsidR="00D42550" w:rsidRPr="00AC26F8">
        <w:t>(Schubert et al., 2014)</w:t>
      </w:r>
      <w:r w:rsidRPr="00AC26F8">
        <w:fldChar w:fldCharType="end"/>
      </w:r>
      <w:r w:rsidRPr="00AC26F8">
        <w:t xml:space="preserve"> (</w:t>
      </w:r>
      <w:r w:rsidRPr="00AC26F8">
        <w:rPr>
          <w:i/>
        </w:rPr>
        <w:t>P</w:t>
      </w:r>
      <w:r w:rsidRPr="00AC26F8">
        <w:t xml:space="preserve">&lt;0.001; </w:t>
      </w:r>
      <w:r w:rsidRPr="00AC26F8">
        <w:rPr>
          <w:b/>
        </w:rPr>
        <w:t>Fig. 4</w:t>
      </w:r>
      <w:r w:rsidR="005B594C" w:rsidRPr="00AC26F8">
        <w:rPr>
          <w:b/>
        </w:rPr>
        <w:t>D</w:t>
      </w:r>
      <w:r w:rsidRPr="00AC26F8">
        <w:t>) and pediatric CD patients in the RISK cohort</w:t>
      </w:r>
      <w:r w:rsidR="005B594C" w:rsidRPr="00AC26F8">
        <w:t xml:space="preserve"> </w:t>
      </w:r>
      <w:r w:rsidRPr="00AC26F8">
        <w:fldChar w:fldCharType="begin"/>
      </w:r>
      <w:r w:rsidR="00D42550" w:rsidRPr="00AC26F8">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Pr="00AC26F8">
        <w:fldChar w:fldCharType="separate"/>
      </w:r>
      <w:r w:rsidR="00D42550" w:rsidRPr="00AC26F8">
        <w:t>(Gevers et al., 2014)</w:t>
      </w:r>
      <w:r w:rsidRPr="00AC26F8">
        <w:fldChar w:fldCharType="end"/>
      </w:r>
      <w:r w:rsidRPr="00AC26F8">
        <w:t xml:space="preserve"> (</w:t>
      </w:r>
      <w:r w:rsidRPr="00AC26F8">
        <w:rPr>
          <w:i/>
        </w:rPr>
        <w:t>P</w:t>
      </w:r>
      <w:r w:rsidRPr="00AC26F8">
        <w:t xml:space="preserve">&lt;0.045; </w:t>
      </w:r>
      <w:r w:rsidR="005B594C" w:rsidRPr="00AC26F8">
        <w:rPr>
          <w:b/>
        </w:rPr>
        <w:t>Fig. S</w:t>
      </w:r>
      <w:r w:rsidR="00E50F4E" w:rsidRPr="00AC26F8">
        <w:rPr>
          <w:b/>
        </w:rPr>
        <w:t>7</w:t>
      </w:r>
      <w:r w:rsidR="005B594C" w:rsidRPr="00AC26F8">
        <w:rPr>
          <w:b/>
        </w:rPr>
        <w:t>A</w:t>
      </w:r>
      <w:r w:rsidRPr="00AC26F8">
        <w:t>). Notably, these associations were much stronger for bacteria from oral cavity habitat 1 than habitat 2 (</w:t>
      </w:r>
      <w:r w:rsidRPr="00AC26F8">
        <w:rPr>
          <w:b/>
        </w:rPr>
        <w:t xml:space="preserve">Fig. </w:t>
      </w:r>
      <w:r w:rsidR="00DD1E6C" w:rsidRPr="00AC26F8">
        <w:rPr>
          <w:b/>
        </w:rPr>
        <w:t>S</w:t>
      </w:r>
      <w:r w:rsidR="00E50F4E" w:rsidRPr="00AC26F8">
        <w:rPr>
          <w:b/>
        </w:rPr>
        <w:t>8</w:t>
      </w:r>
      <w:r w:rsidRPr="00AC26F8">
        <w:t xml:space="preserve">). More interestingly, all associations for </w:t>
      </w:r>
      <w:r w:rsidR="008E7424" w:rsidRPr="00AC26F8">
        <w:t xml:space="preserve">subsets of </w:t>
      </w:r>
      <w:r w:rsidRPr="00AC26F8">
        <w:t xml:space="preserve">(pediatric) IBD patients </w:t>
      </w:r>
      <w:r w:rsidR="007D55AD" w:rsidRPr="00AC26F8">
        <w:t xml:space="preserve">who have not </w:t>
      </w:r>
      <w:r w:rsidR="008E7424" w:rsidRPr="00AC26F8">
        <w:t xml:space="preserve">previously </w:t>
      </w:r>
      <w:r w:rsidR="007D55AD" w:rsidRPr="00AC26F8">
        <w:t xml:space="preserve">received antibiotics </w:t>
      </w:r>
      <w:r w:rsidRPr="00AC26F8">
        <w:t>became insignificant (</w:t>
      </w:r>
      <w:r w:rsidRPr="00AC26F8">
        <w:rPr>
          <w:b/>
        </w:rPr>
        <w:t xml:space="preserve">Fig. </w:t>
      </w:r>
      <w:r w:rsidR="000D2F16" w:rsidRPr="00AC26F8">
        <w:rPr>
          <w:b/>
        </w:rPr>
        <w:t>S</w:t>
      </w:r>
      <w:r w:rsidR="00E50F4E" w:rsidRPr="00AC26F8">
        <w:rPr>
          <w:b/>
        </w:rPr>
        <w:t>6</w:t>
      </w:r>
      <w:r w:rsidR="000D2F16" w:rsidRPr="00AC26F8">
        <w:rPr>
          <w:b/>
        </w:rPr>
        <w:t>B</w:t>
      </w:r>
      <w:r w:rsidRPr="00AC26F8">
        <w:t>)</w:t>
      </w:r>
      <w:r w:rsidR="008E7424" w:rsidRPr="00AC26F8">
        <w:t xml:space="preserve">, suggesting </w:t>
      </w:r>
      <w:r w:rsidRPr="00AC26F8">
        <w:t>that the relative enrichment of oral bacteria in feces is not a signature of IBD</w:t>
      </w:r>
      <w:r w:rsidR="008E7424" w:rsidRPr="00AC26F8">
        <w:t xml:space="preserve"> </w:t>
      </w:r>
      <w:r w:rsidRPr="00AC26F8">
        <w:t>but, instead, reflects collateral damage of antibiotic treatment. Finally, the percentage of oral bacteria increased with disease severity in pediatric UC patients from the PROTECT cohort</w:t>
      </w:r>
      <w:r w:rsidR="007D7AE4" w:rsidRPr="00AC26F8">
        <w:t xml:space="preserve"> </w:t>
      </w:r>
      <w:r w:rsidRPr="00AC26F8">
        <w:fldChar w:fldCharType="begin"/>
      </w:r>
      <w:r w:rsidR="00D42550" w:rsidRPr="00AC26F8">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Pr="00AC26F8">
        <w:fldChar w:fldCharType="separate"/>
      </w:r>
      <w:r w:rsidR="00D42550" w:rsidRPr="00AC26F8">
        <w:t>(Schirmer et al., 2018)</w:t>
      </w:r>
      <w:r w:rsidRPr="00AC26F8">
        <w:fldChar w:fldCharType="end"/>
      </w:r>
      <w:r w:rsidRPr="00AC26F8">
        <w:t xml:space="preserve"> (</w:t>
      </w:r>
      <w:r w:rsidRPr="00AC26F8">
        <w:rPr>
          <w:i/>
        </w:rPr>
        <w:t>P</w:t>
      </w:r>
      <w:r w:rsidRPr="00AC26F8">
        <w:t xml:space="preserve">&lt;0.001; </w:t>
      </w:r>
      <w:r w:rsidRPr="00AC26F8">
        <w:rPr>
          <w:b/>
        </w:rPr>
        <w:t xml:space="preserve">Fig. </w:t>
      </w:r>
      <w:r w:rsidR="00013EC6" w:rsidRPr="00AC26F8">
        <w:rPr>
          <w:b/>
        </w:rPr>
        <w:t>4E</w:t>
      </w:r>
      <w:r w:rsidRPr="00AC26F8">
        <w:t>). Although similar associations with disease severity were not found in the pediatric CD patients enrolled in the UPenn cohort (</w:t>
      </w:r>
      <w:r w:rsidRPr="00AC26F8">
        <w:rPr>
          <w:b/>
        </w:rPr>
        <w:t xml:space="preserve">Fig. </w:t>
      </w:r>
      <w:r w:rsidR="007D7AE4" w:rsidRPr="00AC26F8">
        <w:rPr>
          <w:b/>
        </w:rPr>
        <w:t>S</w:t>
      </w:r>
      <w:r w:rsidR="00E50F4E" w:rsidRPr="00AC26F8">
        <w:rPr>
          <w:b/>
        </w:rPr>
        <w:t>7</w:t>
      </w:r>
      <w:r w:rsidR="007D7AE4" w:rsidRPr="00AC26F8">
        <w:rPr>
          <w:b/>
        </w:rPr>
        <w:t>B</w:t>
      </w:r>
      <w:r w:rsidRPr="00AC26F8">
        <w:t>), those patients with enriched oral bacteria had a significantly higher percentage of fungal DNA in stool samples (</w:t>
      </w:r>
      <w:r w:rsidRPr="00AC26F8">
        <w:rPr>
          <w:b/>
        </w:rPr>
        <w:t>Fig. 4</w:t>
      </w:r>
      <w:r w:rsidR="00013EC6" w:rsidRPr="00AC26F8">
        <w:rPr>
          <w:b/>
        </w:rPr>
        <w:t>F</w:t>
      </w:r>
      <w:r w:rsidRPr="00AC26F8">
        <w:t>).</w:t>
      </w:r>
    </w:p>
    <w:p w14:paraId="7DBBD1AC" w14:textId="77777777" w:rsidR="006106B2" w:rsidRPr="00AC26F8" w:rsidRDefault="006106B2" w:rsidP="00A00A4E"/>
    <w:p w14:paraId="4836FE11" w14:textId="6B4E7638" w:rsidR="007648D9" w:rsidRDefault="007648D9" w:rsidP="00A00A4E">
      <w:pPr>
        <w:rPr>
          <w:b/>
          <w:bCs/>
        </w:rPr>
      </w:pPr>
      <w:r w:rsidRPr="00AC26F8">
        <w:rPr>
          <w:b/>
          <w:bCs/>
        </w:rPr>
        <w:t>DISCUSSION</w:t>
      </w:r>
    </w:p>
    <w:p w14:paraId="3C1A3596" w14:textId="43D8EBB8" w:rsidR="00E02A3B" w:rsidRDefault="00E02A3B" w:rsidP="00A00A4E">
      <w:pPr>
        <w:rPr>
          <w:b/>
          <w:bCs/>
        </w:rPr>
      </w:pPr>
    </w:p>
    <w:p w14:paraId="73D7DD4A" w14:textId="2E3894BC" w:rsidR="00E02A3B" w:rsidRDefault="00E02A3B" w:rsidP="00A00A4E">
      <w:r>
        <w:t xml:space="preserve">Most of the quantitative human gut microbiome studies to date </w:t>
      </w:r>
      <w:r>
        <w:fldChar w:fldCharType="begin">
          <w:fldData xml:space="preserve">PEVuZE5vdGU+PENpdGU+PEF1dGhvcj5WYW5kZXB1dHRlPC9BdXRob3I+PFllYXI+MjAxNzwvWWVh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=
</w:fldData>
        </w:fldChar>
      </w:r>
      <w:r>
        <w:instrText xml:space="preserve"> ADDIN EN.CITE </w:instrText>
      </w:r>
      <w:r>
        <w:fldChar w:fldCharType="begin">
          <w:fldData xml:space="preserve">PEVuZE5vdGU+PENpdGU+PEF1dGhvcj5WYW5kZXB1dHRlPC9BdXRob3I+PFllYXI+MjAxNzwvWWVh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=
</w:fldData>
        </w:fldChar>
      </w:r>
      <w:r>
        <w:instrText xml:space="preserve"> ADDIN EN.CITE.DATA </w:instrText>
      </w:r>
      <w:r>
        <w:fldChar w:fldCharType="end"/>
      </w:r>
      <w:r>
        <w:fldChar w:fldCharType="separate"/>
      </w:r>
      <w:r>
        <w:rPr>
          <w:noProof/>
        </w:rPr>
        <w:t>(Contijoch</w:t>
      </w:r>
      <w:r w:rsidRPr="002D75C3">
        <w:rPr>
          <w:i/>
          <w:noProof/>
        </w:rPr>
        <w:t xml:space="preserve"> et al.</w:t>
      </w:r>
      <w:r>
        <w:rPr>
          <w:noProof/>
        </w:rPr>
        <w:t>, 2019; Jian et al., 2020; Rao et al., 2021; Schluter et al., 2020; Vandeputte</w:t>
      </w:r>
      <w:r w:rsidRPr="002D75C3">
        <w:rPr>
          <w:i/>
          <w:noProof/>
        </w:rPr>
        <w:t xml:space="preserve"> et al.</w:t>
      </w:r>
      <w:r>
        <w:rPr>
          <w:noProof/>
        </w:rPr>
        <w:t>, 2017; Vieira-Silva et al., 2019)</w:t>
      </w:r>
      <w:r>
        <w:fldChar w:fldCharType="end"/>
      </w:r>
      <w:r>
        <w:t xml:space="preserve"> have focused on amplicon-based profiling in the absence of paired oral samples.</w:t>
      </w:r>
    </w:p>
    <w:p w14:paraId="4BAEB023" w14:textId="77777777" w:rsidR="00E02A3B" w:rsidRPr="00AC26F8" w:rsidRDefault="00E02A3B" w:rsidP="00A00A4E">
      <w:pPr>
        <w:rPr>
          <w:b/>
          <w:bCs/>
        </w:rPr>
      </w:pPr>
    </w:p>
    <w:p w14:paraId="45C54EC5" w14:textId="3B015BFA" w:rsidR="00F80BF8" w:rsidRPr="00AC26F8" w:rsidRDefault="0015189C" w:rsidP="00A00A4E">
      <w:r w:rsidRPr="00AC26F8">
        <w:t>A general tenet of theoretical ecology holds that population density impacts ecosystem function as much as the population composition. Yet almost all studies of human gut microbiome identify the associations of ectopic oral bacteria in the gut with specific diseases based on bacterial compositional changes</w:t>
      </w:r>
      <w:r w:rsidR="00614523" w:rsidRPr="00AC26F8">
        <w:t xml:space="preserve"> </w:t>
      </w:r>
      <w:r w:rsidRPr="00AC26F8">
        <w:fldChar w:fldCharType="begin"/>
      </w:r>
      <w:r w:rsidR="00D42550" w:rsidRPr="00AC26F8">
        <w:instrText>ADDIN F1000_CSL_CITATION&lt;~#@#~&gt;[{"DOI":"10.7554/eLife.42693","First":false,"Last":false,"PMCID":"PMC6424576","PMID":"30747106","abstract":"The gastrointestinal tract is abundantly colonized by microbes, yet the translocation of oral species to the intestine is considered a rare aberrant event, and a hallmark of disease. By studying salivary and fecal microbial strain populations of 310 species in 470 individuals from five countries, we found that transmission to, and subsequent colonization of, the large intestine by oral microbes is common and extensive among healthy individuals. We found evidence for a vast majority of oral species to be transferable, with increased levels of transmission in colorectal cancer and rheumatoid arthritis patients and, more generally, for species described as opportunistic pathogens. This establishes the oral cavity as an endogenous reservoir for gut microbial strains, and oral-fecal transmission as an important process that shapes the gastrointestinal microbiome in health and disease.&lt;br&gt;&lt;br&gt;© 2019, Schmidt et al.","author":[{"family":"Schmidt","given":"Thomas Sb"},{"family":"Hayward","given":"Matthew R"},{"family":"Coelho","given":"Luis P"},{"family":"Li","given":"Simone S"},{"family":"Costea","given":"Paul I"},{"family":"Voigt","given":"Anita Y"},{"family":"Wirbel","given":"Jakob"},{"family":"Maistrenko","given":"Oleksandr M"},{"family":"Alves","given":"Renato Jc"},{"family":"Bergsten","given":"Emma"},{"family":"de Beaufort","given":"Carine"},{"family":"Sobhani","given":"Iradj"},{"family":"Heintz-Buschart","given":"Anna"},{"family":"Sunagawa","given":"Shinichi"},{"family":"Zeller","given":"Georg"},{"family":"Wilmes","given":"Paul"},{"family":"Bork","given":"Peer"}],"authorYearDisplayFormat":false,"citation-label":"6443347","container-title":"eLife","container-title-short":"eLife","id":"6443347","invisible":false,"issued":{"date-parts":[["2019","2","12"]]},"journalAbbreviation":"eLife","suppress-author":false,"title":"Extensive transmission of microbes along the gastrointestinal tract.","type":"article-journal","volume":"8"},{"DOI":"10.1038/s41575-021-00488-4","First":false,"Last":false,"PMID":"34400822","abstract":"Over the past two decades, the importance of the microbiota in health and disease has become evident. Pathological changes to the oral bacterial microbiota, such as those occurring during periodontal disease, are associated with multiple inflammatory conditions, including inflammatory bowel disease. However, the degree to which this association is a consequence of elevated oral inflammation or because oral bacteria can directly drive inflammation at distal sites remains under debate. In this Perspective, we propose that in inflammatory bowel disease, oral disease-associated bacteria translocate to the intestine and directly exacerbate disease. We propose a multistage model that involves pathological changes to the microbial and immune compartments of both the oral cavity and intestine. The evidence to support this hypothesis is critically evaluated and the relevance to other diseases in which oral bacteria have been implicated (including colorectal cancer and liver disease) are discussed.&lt;br&gt;&lt;br&gt;© 2021. Springer Nature Limited.","author":[{"family":"Read","given":"Emily"},{"family":"Curtis","given":"Michael A"},{"family":"Neves","given":"Joana F"}],"authorYearDisplayFormat":false,"citation-label":"11574265","container-title":"Nature Reviews. Gastroenterology &amp; Hepatology","container-title-short":"Nat. Rev. Gastroenterol. Hepatol.","id":"11574265","invisible":false,"issue":"10","issued":{"date-parts":[["2021","10"]]},"journalAbbreviation":"Nat. Rev. Gastroenterol. Hepatol.","page":"731-742","suppress-author":false,"title":"The role of oral bacteria in inflammatory bowel disease.","type":"article-journal","volume":"18"},{"DOI":"10.1177/0022034520924633","First":false,"Last":false,"PMCID":"PMC7375741","PMID":"32464078","abstract":"More than 100 trillion symbiotic microorganisms constitutively colonize throughout the human body, including the oral cavity, the skin, and the gastrointestinal tract. The oral cavity harbors one of the most diverse and abundant microbial communities within the human body, second to the community that resides in the gastrointestinal tract, and is composed of &gt;770 bacterial species. Advances in sequencing technologies help define the precise microbial landscape in our bodies. Environmental and functional differences render the composition of resident microbiota largely distinct between the mouth and the gut and lead to the development of unique microbial ecosystems in the 2 mucosal sites. However, it is apparent that there may be a microbial connection between these 2 mucosal sites in the context of disease pathogenesis. Accumulating evidence indicates that resident oral bacteria can translocate to the gastrointestinal tract through hematogenous and enteral routes. The dissemination of oral microbes to the gut may exacerbate various gastrointestinal diseases, including irritable bowel syndrome, inflammatory bowel disease, and colorectal cancer. However, the precise role that oral microbes play in the extraoral organs, including the gut, remains elusive. Here, we review the recent findings on the dissemination of oral bacteria to the gastrointestinal tract and their possible contribution to the pathogenesis of gastrointestinal diseases. Although little is known about the mechanisms of ectopic colonization of the gut by oral bacteria, we also discuss the potential factors that allow the oral bacteria to colonize the gut.","author":[{"family":"Kitamoto","given":"S"},{"family":"Nagao-Kitamoto","given":"H"},{"family":"Hein","given":"R"},{"family":"Schmidt","given":"T M"},{"family":"Kamada","given":"N"}],"authorYearDisplayFormat":false,"citation-label":"11545045","container-title":"Journal of Dental Research","container-title-short":"J. Dent. Res.","id":"11545045","invisible":false,"issue":"9","issued":{"date-parts":[["2020","8"]]},"journalAbbreviation":"J. Dent. Res.","page":"1021-1029","suppress-author":false,"title":"The Bacterial Connection between the Oral Cavity and the Gut Diseases.","type":"article-journal","volume":"99"}]</w:instrText>
      </w:r>
      <w:r w:rsidRPr="00AC26F8">
        <w:fldChar w:fldCharType="separate"/>
      </w:r>
      <w:r w:rsidR="00D42550" w:rsidRPr="00AC26F8">
        <w:t>(Kitamoto et al., 2020a; Read et al., 2021; Schmidt et al., 2019)</w:t>
      </w:r>
      <w:r w:rsidRPr="00AC26F8">
        <w:fldChar w:fldCharType="end"/>
      </w:r>
      <w:r w:rsidRPr="00AC26F8">
        <w:t xml:space="preserve"> and neglect variations in population density</w:t>
      </w:r>
      <w:r w:rsidR="00614523" w:rsidRPr="00AC26F8">
        <w:t xml:space="preserve"> </w:t>
      </w:r>
      <w:r w:rsidRPr="00AC26F8">
        <w:fldChar w:fldCharType="begin"/>
      </w:r>
      <w:r w:rsidR="00D42550" w:rsidRPr="00AC26F8">
        <w:instrText>ADDIN F1000_CSL_CITATION&lt;~#@#~&gt;[{"DOI":"10.1038/nature24460","First":false,"Last":false,"PMID":"29143816","abstract":"Current sequencing-based analyses of faecal microbiota quantify microbial taxa and metabolic pathways as fractions of the sample sequence library generated by each analysis. Although these relative approaches permit detection of disease-associated microbiome variation, they are limited in their ability to reveal the interplay between microbiota and host health. Comparative analyses of relative microbiome data cannot provide information about the extent or directionality of changes in taxa abundance or metabolic potential. If microbial load varies substantially between samples, relative profiling will hamper attempts to link microbiome features to quantitative data such as physiological parameters or metabolite concentrations. Saliently, relative approaches ignore the possibility that altered overall microbiota abundance itself could be a key identifier of a disease-associated ecosystem configuration. To enable genuine characterization of host-microbiota interactions, microbiome research must exchange ratios for counts. Here we build a workflow for the quantitative microbiome profiling of faecal material, through parallelization of amplicon sequencing and flow cytometric enumeration of microbial cells. We observe up to tenfold differences in the microbial loads of healthy individuals and relate this variation to enterotype differentiation. We show how microbial abundances underpin both microbiota variation between individuals and covariation with host phenotype. Quantitative profiling bypasses compositionality effects in the reconstruction of gut microbiota interaction networks and reveals that the taxonomic trade-off between Bacteroides and Prevotella is an artefact of relative microbiome analyses. Finally, we identify microbial load as a key driver of observed microbiota alterations in a cohort of patients with Crohn's disease, here associated with a low-cell-count Bacteroides enterotype (as defined through relative profiling).","author":[{"family":"Vandeputte","given":"Doris"},{"family":"Kathagen","given":"Gunter"},{"family":"D'hoe","given":"Kevin"},{"family":"Vieira-Silva","given":"Sara"},{"family":"Valles-Colomer","given":"Mireia"},{"family":"Sabino","given":"João"},{"family":"Wang","given":"Jun"},{"family":"Tito","given":"Raul Y"},{"family":"De Commer","given":"Lindsey"},{"family":"Darzi","given":"Youssef"},{"family":"Vermeire","given":"Séverine"},{"family":"Falony","given":"Gwen"},{"family":"Raes","given":"Jeroen"}],"authorYearDisplayFormat":false,"citation-label":"4508462","container-title":"Nature","container-title-short":"Nature","id":"4508462","invisible":false,"issue":"7681","issued":{"date-parts":[["2017","11","23"]]},"journalAbbreviation":"Nature","page":"507-511","suppress-author":false,"title":"Quantitative microbiome profiling links gut community variation to microbial load.","type":"article-journal","volume":"551"},{"DOI":"10.1038/s41586-021-03241-8","First":false,"Last":false,"PMCID":"PMC7990694","PMID":"33627867","abstract":"The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interventions.","author":[{"family":"Rao","given":"Chitong"},{"family":"Coyte","given":"Katharine Z"},{"family":"Bainter","given":"Wayne"},{"family":"Geha","given":"Raif S"},{"family":"Martin","given":"Camilia R"},{"family":"Rakoff-Nahoum","given":"Seth"}],"authorYearDisplayFormat":false,"citation-label":"10549311","container-title":"Nature","container-title-short":"Nature","id":"10549311","invisible":false,"issue":"7851","issued":{"date-parts":[["2021","3"]]},"journalAbbreviation":"Nature","page":"633-638","suppress-author":false,"title":"Multi-kingdom ecological drivers of microbiota assembly in preterm infants.","type":"article-journal","volume":"591"}]</w:instrText>
      </w:r>
      <w:r w:rsidRPr="00AC26F8">
        <w:fldChar w:fldCharType="separate"/>
      </w:r>
      <w:r w:rsidR="00D42550" w:rsidRPr="00AC26F8">
        <w:t>(Rao et al., 2021; Vandeputte et al., 2017)</w:t>
      </w:r>
      <w:r w:rsidRPr="00AC26F8">
        <w:fldChar w:fldCharType="end"/>
      </w:r>
      <w:r w:rsidRPr="00AC26F8">
        <w:t xml:space="preserve">. For example, &gt;10 different oral bacterial species (e.g., </w:t>
      </w:r>
      <w:r w:rsidRPr="00AC26F8">
        <w:rPr>
          <w:i/>
          <w:iCs/>
        </w:rPr>
        <w:t>Streptococcus spp.</w:t>
      </w:r>
      <w:r w:rsidRPr="00AC26F8">
        <w:t xml:space="preserve">, </w:t>
      </w:r>
      <w:r w:rsidRPr="00AC26F8">
        <w:rPr>
          <w:i/>
          <w:iCs/>
        </w:rPr>
        <w:t>Veillonella parvula</w:t>
      </w:r>
      <w:r w:rsidRPr="00AC26F8">
        <w:t xml:space="preserve">, </w:t>
      </w:r>
      <w:r w:rsidRPr="00AC26F8">
        <w:rPr>
          <w:i/>
          <w:iCs/>
        </w:rPr>
        <w:t>Fusobacterium nucleatum</w:t>
      </w:r>
      <w:r w:rsidRPr="00AC26F8">
        <w:t>) were reportedly enriched in the intestine of IBD patients by 12 studies, where 10 drew conclusions based on bacterial relative abundances estimated from 16S amplicon sequencing</w:t>
      </w:r>
      <w:r w:rsidR="00CD5E48" w:rsidRPr="00AC26F8">
        <w:t xml:space="preserve"> </w:t>
      </w:r>
      <w:r w:rsidRPr="00AC26F8">
        <w:fldChar w:fldCharType="begin"/>
      </w:r>
      <w:r w:rsidR="00D42550" w:rsidRPr="00AC26F8">
        <w:instrText>ADDIN F1000_CSL_CITATION&lt;~#@#~&gt;[{"DOI":"10.1038/s41575-021-00488-4","First":false,"Last":false,"PMID":"34400822","abstract":"Over the past two decades, the importance of the microbiota in health and disease has become evident. Pathological changes to the oral bacterial microbiota, such as those occurring during periodontal disease, are associated with multiple inflammatory conditions, including inflammatory bowel disease. However, the degree to which this association is a consequence of elevated oral inflammation or because oral bacteria can directly drive inflammation at distal sites remains under debate. In this Perspective, we propose that in inflammatory bowel disease, oral disease-associated bacteria translocate to the intestine and directly exacerbate disease. We propose a multistage model that involves pathological changes to the microbial and immune compartments of both the oral cavity and intestine. The evidence to support this hypothesis is critically evaluated and the relevance to other diseases in which oral bacteria have been implicated (including colorectal cancer and liver disease) are discussed.&lt;br&gt;&lt;br&gt;© 2021. Springer Nature Limited.","author":[{"family":"Read","given":"Emily"},{"family":"Curtis","given":"Michael A"},{"family":"Neves","given":"Joana F"}],"authorYearDisplayFormat":false,"citation-label":"11574265","container-title":"Nature Reviews. Gastroenterology &amp; Hepatology","container-title-short":"Nat. Rev. Gastroenterol. Hepatol.","id":"11574265","invisible":false,"issue":"10","issued":{"date-parts":[["2021","10"]]},"journalAbbreviation":"Nat. Rev. Gastroenterol. Hepatol.","page":"731-742","suppress-author":false,"title":"The role of oral bacteria in inflammatory bowel disease.","type":"article-journal","volume":"18"}]</w:instrText>
      </w:r>
      <w:r w:rsidRPr="00AC26F8">
        <w:fldChar w:fldCharType="separate"/>
      </w:r>
      <w:r w:rsidR="00D42550" w:rsidRPr="00AC26F8">
        <w:t>(Read et al., 2021)</w:t>
      </w:r>
      <w:r w:rsidRPr="00AC26F8">
        <w:fldChar w:fldCharType="end"/>
      </w:r>
      <w:r w:rsidRPr="00AC26F8">
        <w:t>. Mouse experiments show the possibility that the enriched oral bacteria in feces may be oral pathobionts</w:t>
      </w:r>
      <w:r w:rsidR="00CD5E48" w:rsidRPr="00AC26F8">
        <w:t xml:space="preserve"> </w:t>
      </w:r>
      <w:r w:rsidRPr="00AC26F8">
        <w:fldChar w:fldCharType="begin"/>
      </w:r>
      <w:r w:rsidR="00D42550" w:rsidRPr="00AC26F8">
        <w:instrText>ADDIN F1000_CSL_CITATION&lt;~#@#~&gt;[{"DOI":"10.1126/science.aan4526","First":false,"Last":false,"PMCID":"PMC5682622","PMID":"29051379","abstract":"Intestinal colonization by bacteria of oral origin has been correlated with several negative health outcomes, including inflammatory bowel disease. However, a causal role of oral bacteria ectopically colonizing the intestine remains unclear. Using gnotobiotic techniques, we show that strains of Klebsiella spp. isolated from the salivary microbiota are strong inducers of T helper 1 (TH1) cells when they colonize in the gut. These Klebsiella strains are resistant to multiple antibiotics, tend to colonize when the intestinal microbiota is dysbiotic, and elicit a severe gut inflammation in the context of a genetically susceptible host. Our findings suggest that the oral cavity may serve as a reservoir for potential intestinal pathobionts that can exacerbate intestinal disease.&lt;br&gt;&lt;br&gt;Copyright © 2017 The Authors, some rights reserved; exclusive licensee American Association for the Advancement of Science. No claim to original U.S. Government Works.","author":[{"family":"Atarashi","given":"Koji"},{"family":"Suda","given":"Wataru"},{"family":"Luo","given":"Chengwei"},{"family":"Kawaguchi","given":"Takaaki"},{"family":"Motoo","given":"Iori"},{"family":"Narushima","given":"Seiko"},{"family":"Kiguchi","given":"Yuya"},{"family":"Yasuma","given":"Keiko"},{"family":"Watanabe","given":"Eiichiro"},{"family":"Tanoue","given":"Takeshi"},{"family":"Thaiss","given":"Christoph A"},{"family":"Sato","given":"Mayuko"},{"family":"Toyooka","given":"Kiminori"},{"family":"Said","given":"Heba S"},{"family":"Yamagami","given":"Hirokazu"},{"family":"Rice","given":"Scott A"},{"family":"Gevers","given":"Dirk"},{"family":"Johnson","given":"Ryan C"},{"family":"Segre","given":"Julia A"},{"family":"Chen","given":"Kong"},{"family":"Kolls","given":"Jay K"},{"family":"Elinav","given":"Eran"},{"family":"Morita","given":"Hidetoshi"},{"family":"Xavier","given":"Ramnik J"},{"family":"Hattori","given":"Masahira"},{"family":"Honda","given":"Kenya"}],"authorYearDisplayFormat":false,"citation-label":"4392730","container-title":"Science","container-title-short":"Science","id":"4392730","invisible":false,"issue":"6361","issued":{"date-parts":[["2017","10","20"]]},"journalAbbreviation":"Science","page":"359-365","suppress-author":false,"title":"Ectopic colonization of oral bacteria in the intestine drives TH1 cell induction and inflammation.","type":"article-journal","volume":"358"},{"DOI":"10.1016/j.cell.2020.05.048","First":false,"Last":false,"PMCID":"PMC7414097","PMID":"32758418","abstract":"The precise mechanism by which oral infection contributes to the pathogenesis of extra-oral diseases remains unclear. Here, we report that periodontal inflammation exacerbates gut inflammation in vivo. Periodontitis leads to expansion of oral pathobionts, including Klebsiella and Enterobacter species, in the oral cavity. Amassed oral pathobionts are ingested and translocate to the gut, where they activate the inflammasome in colonic mononuclear phagocytes, triggering inflammation. In parallel, periodontitis results in generation of oral pathobiont-reactive Th17 cells in the oral cavity. Oral pathobiont-reactive Th17 cells are imprinted with gut tropism and migrate to the inflamed gut. When in the gut, Th17 cells of oral origin can be activated by translocated oral pathobionts and cause development of colitis, but they are not activated by gut-resident microbes. Thus, oral inflammation, such as periodontitis, exacerbates gut inflammation by supplying the gut with both colitogenic pathobionts and pathogenic T cells.&lt;br&gt;&lt;br&gt;Copyright © 2020 Elsevier Inc. All rights reserved.","author":[{"family":"Kitamoto","given":"Sho"},{"family":"Nagao-Kitamoto","given":"Hiroko"},{"family":"Jiao","given":"Yizu"},{"family":"Gillilland","given":"Merritt G"},{"family":"Hayashi","given":"Atsushi"},{"family":"Imai","given":"Jin"},{"family":"Sugihara","given":"Kohei"},{"family":"Miyoshi","given":"Mao"},{"family":"Brazil","given":"Jennifer C"},{"family":"Kuffa","given":"Peter"},{"family":"Hill","given":"Brett D"},{"family":"Rizvi","given":"Syed M"},{"family":"Wen","given":"Fei"},{"family":"Bishu","given":"Shrinivas"},{"family":"Inohara","given":"Naohiro"},{"family":"Eaton","given":"Kathryn A"},{"family":"Nusrat","given":"Asma"},{"family":"Lei","given":"Yu L"},{"family":"Giannobile","given":"William V"},{"family":"Kamada","given":"Nobuhiko"}],"authorYearDisplayFormat":false,"citation-label":"9106367","container-title":"Cell","container-title-short":"Cell","id":"9106367","invisible":false,"issue":"2","issued":{"date-parts":[["2020","7","23"]]},"journalAbbreviation":"Cell","page":"447-462.e14","suppress-author":false,"title":"The Intermucosal Connection between the Mouth and Gut in Commensal Pathobiont-Driven Colitis.","type":"article-journal","volume":"182"}]</w:instrText>
      </w:r>
      <w:r w:rsidRPr="00AC26F8">
        <w:fldChar w:fldCharType="separate"/>
      </w:r>
      <w:r w:rsidR="00D42550" w:rsidRPr="00AC26F8">
        <w:t>(Atarashi et al., 2017; Kitamoto et al., 2020b)</w:t>
      </w:r>
      <w:r w:rsidRPr="00AC26F8">
        <w:fldChar w:fldCharType="end"/>
      </w:r>
      <w:r w:rsidRPr="00AC26F8">
        <w:t xml:space="preserve">, the driver hypothesis, but this remains to be demonstrated in humans. Here we favor an alternative interpretation, the marker hypothesis: oral bacteria in feces neither correspond to absolute expansions of oral pathogens in the gut nor do they reflect species- or disease-specific </w:t>
      </w:r>
      <w:r w:rsidRPr="00AC26F8">
        <w:lastRenderedPageBreak/>
        <w:t>biological differences. Rather, they simply indicate a shared decline of gut bacterial density</w:t>
      </w:r>
      <w:r w:rsidR="00CD5E48" w:rsidRPr="00AC26F8">
        <w:t xml:space="preserve"> </w:t>
      </w:r>
      <w:r w:rsidRPr="00AC26F8">
        <w:fldChar w:fldCharType="begin"/>
      </w:r>
      <w:r w:rsidR="00D42550" w:rsidRPr="00AC26F8">
        <w:instrText>ADDIN F1000_CSL_CITATION&lt;~#@#~&gt;[{"DOI":"10.1038/s41467-017-01973-8","First":false,"Last":false,"PMCID":"PMC5716994","PMID":"29209090","abstract":"Hundreds of clinical studies have demonstrated associations between the human microbiome and disease, yet fundamental questions remain on how we can generalize this knowledge. Results from individual studies can be inconsistent, and comparing published data is further complicated by a lack of standard processing and analysis methods. Here we introduce the MicrobiomeHD database, which includes 28 published case-control gut microbiome studies spanning ten diseases. We perform a cross-disease meta-analysis of these studies using standardized methods. We find consistent patterns characterizing disease-associated microbiome changes. Some diseases are associated with over 50 genera, while most show only 10-15 genus-level changes. Some diseases are marked by the presence of potentially pathogenic microbes, whereas others are characterized by a depletion of health-associated bacteria. Furthermore, we show that about half of genera associated with individual studies are bacteria that respond to more than one disease. Thus, many associations found in case-control studies are likely not disease-specific but rather part of a non-specific, shared response to health and disease.","author":[{"family":"Duvallet","given":"Claire"},{"family":"Gibbons","given":"Sean M"},{"family":"Gurry","given":"Thomas"},{"family":"Irizarry","given":"Rafael A"},{"family":"Alm","given":"Eric J"}],"authorYearDisplayFormat":false,"citation-label":"4567141","container-title":"Nature Communications","container-title-short":"Nat. Commun.","id":"4567141","invisible":false,"issue":"1","issued":{"date-parts":[["2017","12","5"]]},"journalAbbreviation":"Nat. Commun.","page":"1784","suppress-author":false,"title":"Meta-analysis of gut microbiome studies identifies disease-specific and shared responses.","type":"article-journal","volume":"8"}]</w:instrText>
      </w:r>
      <w:r w:rsidRPr="00AC26F8">
        <w:fldChar w:fldCharType="separate"/>
      </w:r>
      <w:r w:rsidR="00D42550" w:rsidRPr="00AC26F8">
        <w:t>(Duvallet et al., 2017)</w:t>
      </w:r>
      <w:r w:rsidRPr="00AC26F8">
        <w:fldChar w:fldCharType="end"/>
      </w:r>
      <w:r w:rsidRPr="00AC26F8">
        <w:t>.</w:t>
      </w:r>
      <w:r w:rsidR="00F80BF8" w:rsidRPr="00AC26F8">
        <w:br w:type="page"/>
      </w:r>
    </w:p>
    <w:p w14:paraId="77FB60A6" w14:textId="0BDCC7A8" w:rsidR="00ED5352" w:rsidRPr="00AC26F8" w:rsidRDefault="00ED5352" w:rsidP="00A00A4E">
      <w:pPr>
        <w:rPr>
          <w:b/>
          <w:kern w:val="28"/>
        </w:rPr>
      </w:pPr>
    </w:p>
    <w:p w14:paraId="01B7A995" w14:textId="75172FEE" w:rsidR="00ED5352" w:rsidRPr="00AC26F8" w:rsidRDefault="00ED5352" w:rsidP="00A00A4E">
      <w:r w:rsidRPr="00AC26F8">
        <w:rPr>
          <w:b/>
        </w:rPr>
        <w:t>Fig</w:t>
      </w:r>
      <w:r w:rsidR="00D231BC" w:rsidRPr="00AC26F8">
        <w:rPr>
          <w:b/>
        </w:rPr>
        <w:t>ure</w:t>
      </w:r>
      <w:r w:rsidRPr="00AC26F8">
        <w:rPr>
          <w:b/>
        </w:rPr>
        <w:t xml:space="preserve"> 1.</w:t>
      </w:r>
      <w:r w:rsidRPr="00AC26F8">
        <w:t xml:space="preserve"> </w:t>
      </w:r>
      <w:r w:rsidRPr="00AC26F8">
        <w:rPr>
          <w:b/>
        </w:rPr>
        <w:t>Ecological modeling links relative abundance of oral bacteria to total bacterial density in fecal samples.</w:t>
      </w:r>
      <w:r w:rsidRPr="00AC26F8">
        <w:t xml:space="preserve"> (</w:t>
      </w:r>
      <w:r w:rsidRPr="00AC26F8">
        <w:rPr>
          <w:b/>
          <w:bCs/>
        </w:rPr>
        <w:t>A</w:t>
      </w:r>
      <w:r w:rsidRPr="00AC26F8">
        <w:t>)</w:t>
      </w:r>
      <w:r w:rsidRPr="00AC26F8">
        <w:rPr>
          <w:b/>
        </w:rPr>
        <w:t xml:space="preserve"> </w:t>
      </w:r>
      <w:r w:rsidRPr="00AC26F8">
        <w:t xml:space="preserve">The marker hypothesis and its ecological model. The human gut lumen has a constant inflow of oral bacteria (at rate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and a first-order outflow of bacteria of both oral and gut origins (at rate constant </w:t>
      </w:r>
      <m:oMath>
        <m:r>
          <w:rPr>
            <w:rFonts w:ascii="Cambria Math" w:hAnsi="Cambria Math"/>
          </w:rPr>
          <m:t>D</m:t>
        </m:r>
      </m:oMath>
      <w:r w:rsidRPr="00AC26F8">
        <w:t>). Perturbations such as antibiotics, which impact the fitness of bacteria in the gut, can reduce total bacterial density and relatively increase the abundance of oral bacteria detected in human feces. (</w:t>
      </w:r>
      <w:r w:rsidRPr="00AC26F8">
        <w:rPr>
          <w:b/>
          <w:bCs/>
        </w:rPr>
        <w:t>B</w:t>
      </w:r>
      <w:r w:rsidRPr="00AC26F8">
        <w:t xml:space="preserve">) Predicted response of the fecal proportion of oral bacteria to the perturbation level that impacts bacterial fitness. The compositional switch is more sensitive when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is lower. (</w:t>
      </w:r>
      <w:r w:rsidRPr="00AC26F8">
        <w:rPr>
          <w:b/>
          <w:bCs/>
        </w:rPr>
        <w:t>C</w:t>
      </w:r>
      <w:r w:rsidRPr="00AC26F8">
        <w:t>) Bimodal distribution of the relative abundance of oral bacteria in feces results from its ultrasensitive response to a unimodal distribution of the perturbed fitness (</w:t>
      </w:r>
      <m:oMath>
        <m:r>
          <w:rPr>
            <w:rFonts w:ascii="Cambria Math" w:hAnsi="Cambria Math"/>
          </w:rPr>
          <m:t>ϵ∼N(0.5,0.2)</m:t>
        </m:r>
      </m:oMath>
      <w:r w:rsidRPr="00AC26F8">
        <w:t>). P.d.f.: probability density function. (</w:t>
      </w:r>
      <w:r w:rsidRPr="00AC26F8">
        <w:rPr>
          <w:b/>
          <w:bCs/>
        </w:rPr>
        <w:t>D</w:t>
      </w:r>
      <w:r w:rsidRPr="00AC26F8">
        <w:t>) Predicted linear relationship in log-log space between relative abundance of oral bacteria and total bacterial density in feces.</w:t>
      </w:r>
    </w:p>
    <w:p w14:paraId="7DF1748B" w14:textId="6854432C" w:rsidR="00ED5352" w:rsidRPr="00AC26F8" w:rsidRDefault="00ED5352" w:rsidP="00A00A4E">
      <w:pPr>
        <w:pStyle w:val="Legend"/>
      </w:pPr>
    </w:p>
    <w:p w14:paraId="118D004B" w14:textId="674A4251" w:rsidR="00ED5352" w:rsidRPr="00AC26F8" w:rsidRDefault="00ED5352" w:rsidP="00A00A4E">
      <w:pPr>
        <w:rPr>
          <w:b/>
        </w:rPr>
      </w:pPr>
    </w:p>
    <w:p w14:paraId="6950E9AD" w14:textId="5B0DAC61" w:rsidR="00ED5352" w:rsidRPr="00AC26F8" w:rsidRDefault="00ED5352" w:rsidP="00A00A4E">
      <w:r w:rsidRPr="00AC26F8">
        <w:rPr>
          <w:b/>
        </w:rPr>
        <w:t>Fig</w:t>
      </w:r>
      <w:r w:rsidR="00D231BC" w:rsidRPr="00AC26F8">
        <w:rPr>
          <w:b/>
        </w:rPr>
        <w:t>ure</w:t>
      </w:r>
      <w:r w:rsidRPr="00AC26F8">
        <w:rPr>
          <w:b/>
        </w:rPr>
        <w:t xml:space="preserve"> 3. Oral bacteria in feces of MSK allo-HCT patients are associated with bacterial density, </w:t>
      </w:r>
      <w:r w:rsidR="00FD0DE8" w:rsidRPr="00AC26F8">
        <w:rPr>
          <w:b/>
        </w:rPr>
        <w:t xml:space="preserve">stool consistency, </w:t>
      </w:r>
      <w:r w:rsidRPr="00AC26F8">
        <w:rPr>
          <w:b/>
        </w:rPr>
        <w:t>antibiotic use, and transplant outcomes.</w:t>
      </w:r>
      <w:r w:rsidRPr="00AC26F8">
        <w:t xml:space="preserve"> (</w:t>
      </w:r>
      <w:r w:rsidRPr="00AC26F8">
        <w:rPr>
          <w:b/>
          <w:bCs/>
        </w:rPr>
        <w:t>A</w:t>
      </w:r>
      <w:r w:rsidRPr="00AC26F8">
        <w:t>)</w:t>
      </w:r>
      <w:r w:rsidRPr="00AC26F8">
        <w:rPr>
          <w:b/>
        </w:rPr>
        <w:t xml:space="preserve"> </w:t>
      </w:r>
      <w:r w:rsidRPr="00AC26F8">
        <w:t xml:space="preserve">Relative abundances of bacteria represented by their habitat origins (first row) and taxonomy (second row). Each thin column is a </w:t>
      </w:r>
      <w:proofErr w:type="gramStart"/>
      <w:r w:rsidRPr="00AC26F8">
        <w:t>sample</w:t>
      </w:r>
      <w:proofErr w:type="gramEnd"/>
      <w:r w:rsidRPr="00AC26F8">
        <w:t xml:space="preserve"> and all samples are clustered by their most abundant sources of origin (labeled above each cluster). (</w:t>
      </w:r>
      <w:r w:rsidRPr="00AC26F8">
        <w:rPr>
          <w:b/>
          <w:bCs/>
        </w:rPr>
        <w:t>B</w:t>
      </w:r>
      <w:r w:rsidRPr="00AC26F8">
        <w:t>) Bimodal distribution of oral bacteria in feces.</w:t>
      </w:r>
      <w:r w:rsidRPr="00AC26F8">
        <w:rPr>
          <w:b/>
        </w:rPr>
        <w:t xml:space="preserve"> </w:t>
      </w:r>
      <w:r w:rsidRPr="00AC26F8">
        <w:rPr>
          <w:bCs/>
        </w:rPr>
        <w:t>(</w:t>
      </w:r>
      <w:r w:rsidRPr="00AC26F8">
        <w:rPr>
          <w:b/>
        </w:rPr>
        <w:t>C</w:t>
      </w:r>
      <w:r w:rsidRPr="00AC26F8">
        <w:rPr>
          <w:bCs/>
        </w:rPr>
        <w:t>) Dynamics</w:t>
      </w:r>
      <w:r w:rsidRPr="00AC26F8">
        <w:t xml:space="preserve"> of relative or absolute abundances of bacterial populations from the gastrointestinal tract and the two oral cavity habitats. (</w:t>
      </w:r>
      <w:r w:rsidRPr="00AC26F8">
        <w:rPr>
          <w:b/>
          <w:bCs/>
        </w:rPr>
        <w:t>D</w:t>
      </w:r>
      <w:r w:rsidRPr="00AC26F8">
        <w:t xml:space="preserve">) Negative relationship between fraction of oral bacteria in feces and total bacterial density. Red and blue lines (associated shading area: 95% confidence interval) in the scatter plot represent the best linear fits using data within the dynamic range (oral bacteria </w:t>
      </w:r>
      <m:oMath>
        <m:r>
          <w:rPr>
            <w:rFonts w:ascii="Cambria Math" w:hAnsi="Cambria Math"/>
          </w:rPr>
          <m:t>≥</m:t>
        </m:r>
      </m:oMath>
      <w:r w:rsidRPr="00AC26F8">
        <w:t>3.4%, orange shading) and the entire range of data respectively. R</w:t>
      </w:r>
      <w:r w:rsidRPr="00AC26F8">
        <w:rPr>
          <w:vertAlign w:val="superscript"/>
        </w:rPr>
        <w:t>2</w:t>
      </w:r>
      <w:r w:rsidRPr="00AC26F8">
        <w:t xml:space="preserve"> and the fitted slopes were determined stepwisely by varying the range of data included in the linear regression. (</w:t>
      </w:r>
      <w:r w:rsidRPr="00AC26F8">
        <w:rPr>
          <w:b/>
          <w:bCs/>
        </w:rPr>
        <w:t>E</w:t>
      </w:r>
      <w:r w:rsidRPr="00AC26F8">
        <w:t>) Fraction of oral bacteria in feces stratified by stool consistency. (</w:t>
      </w:r>
      <w:r w:rsidRPr="00AC26F8">
        <w:rPr>
          <w:b/>
          <w:bCs/>
        </w:rPr>
        <w:t>F</w:t>
      </w:r>
      <w:r w:rsidRPr="00AC26F8">
        <w:t>)</w:t>
      </w:r>
      <w:r w:rsidRPr="00AC26F8">
        <w:rPr>
          <w:b/>
        </w:rPr>
        <w:t xml:space="preserve"> </w:t>
      </w:r>
      <w:r w:rsidRPr="00AC26F8">
        <w:t>Hazard ratio and 95% confidence intervals of antibacterial antibiotic predictors for gut microbiome domination by oral bacteria (</w:t>
      </w:r>
      <m:oMath>
        <m:r>
          <w:rPr>
            <w:rFonts w:ascii="Cambria Math" w:hAnsi="Cambria Math"/>
          </w:rPr>
          <m:t>≥</m:t>
        </m:r>
      </m:oMath>
      <w:r w:rsidRPr="00AC26F8">
        <w:t>30%). (</w:t>
      </w:r>
      <w:r w:rsidRPr="00AC26F8">
        <w:rPr>
          <w:b/>
          <w:bCs/>
        </w:rPr>
        <w:t>G</w:t>
      </w:r>
      <w:r w:rsidRPr="00AC26F8">
        <w:t>)</w:t>
      </w:r>
      <w:r w:rsidRPr="00AC26F8">
        <w:rPr>
          <w:b/>
        </w:rPr>
        <w:t xml:space="preserve"> </w:t>
      </w:r>
      <w:r w:rsidRPr="00AC26F8">
        <w:t>Overall survival curves of allo-HCT patients stratified by the dominant bacterial sources in their gut microbiome pre</w:t>
      </w:r>
      <w:proofErr w:type="gramStart"/>
      <w:r w:rsidRPr="00AC26F8">
        <w:t>-(</w:t>
      </w:r>
      <w:proofErr w:type="gramEnd"/>
      <w:r w:rsidRPr="00AC26F8">
        <w:t xml:space="preserve">bone marrow) engraftment. The two oral cavity habitats are combined. </w:t>
      </w:r>
      <w:r w:rsidRPr="00AC26F8">
        <w:rPr>
          <w:i/>
        </w:rPr>
        <w:t>P</w:t>
      </w:r>
      <w:r w:rsidRPr="00AC26F8">
        <w:t>-value: Wald test. (</w:t>
      </w:r>
      <w:r w:rsidRPr="00AC26F8">
        <w:rPr>
          <w:b/>
          <w:bCs/>
        </w:rPr>
        <w:t>H</w:t>
      </w:r>
      <w:r w:rsidRPr="00AC26F8">
        <w:t>)</w:t>
      </w:r>
      <w:r w:rsidRPr="00AC26F8">
        <w:rPr>
          <w:b/>
        </w:rPr>
        <w:t xml:space="preserve"> </w:t>
      </w:r>
      <w:r w:rsidRPr="00AC26F8">
        <w:t>Hazard ratio and 95% confidence interval of oral bacteria domination (</w:t>
      </w:r>
      <m:oMath>
        <m:r>
          <w:rPr>
            <w:rFonts w:ascii="Cambria Math" w:hAnsi="Cambria Math"/>
          </w:rPr>
          <m:t>≥</m:t>
        </m:r>
      </m:oMath>
      <w:r w:rsidRPr="00AC26F8">
        <w:t xml:space="preserve">30%) as a predictor for </w:t>
      </w:r>
      <w:r w:rsidRPr="00AC26F8">
        <w:rPr>
          <w:i/>
        </w:rPr>
        <w:t xml:space="preserve">Enterococcus </w:t>
      </w:r>
      <w:r w:rsidRPr="00AC26F8">
        <w:t>bloodstream infection. (</w:t>
      </w:r>
      <w:r w:rsidRPr="00AC26F8">
        <w:rPr>
          <w:b/>
          <w:bCs/>
        </w:rPr>
        <w:t>I</w:t>
      </w:r>
      <w:r w:rsidRPr="00AC26F8">
        <w:t>)</w:t>
      </w:r>
      <w:r w:rsidRPr="00AC26F8">
        <w:rPr>
          <w:b/>
        </w:rPr>
        <w:t xml:space="preserve"> </w:t>
      </w:r>
      <w:r w:rsidRPr="00AC26F8">
        <w:t>Fraction of oral bacteria in feces stratified by fungal cultivability. cfu: colony-forming unit. In panels (E) and (I), the numbers represent the percentages of data above the thresholds indicated by dashed lines. ***</w:t>
      </w:r>
      <w:r w:rsidRPr="00AC26F8">
        <w:rPr>
          <w:i/>
        </w:rPr>
        <w:t>P</w:t>
      </w:r>
      <w:r w:rsidRPr="00AC26F8">
        <w:t>&lt;0.001; Kruskal-</w:t>
      </w:r>
      <w:proofErr w:type="gramStart"/>
      <w:r w:rsidRPr="00AC26F8">
        <w:t>Wallis</w:t>
      </w:r>
      <w:proofErr w:type="gramEnd"/>
      <w:r w:rsidRPr="00AC26F8">
        <w:t xml:space="preserve"> test. ns, not significant.</w:t>
      </w:r>
      <w:r w:rsidRPr="00AC26F8">
        <w:br w:type="page"/>
      </w:r>
    </w:p>
    <w:p w14:paraId="60218709" w14:textId="7A924EEC" w:rsidR="00ED5352" w:rsidRPr="00AC26F8" w:rsidRDefault="00ED5352" w:rsidP="00A00A4E">
      <w:pPr>
        <w:pStyle w:val="Legend"/>
      </w:pPr>
    </w:p>
    <w:p w14:paraId="0C317F6E" w14:textId="1C053518" w:rsidR="008835B5" w:rsidRPr="00AC26F8" w:rsidRDefault="00ED5352" w:rsidP="00A00A4E">
      <w:r w:rsidRPr="00AC26F8">
        <w:rPr>
          <w:b/>
        </w:rPr>
        <w:t>Fig</w:t>
      </w:r>
      <w:r w:rsidR="00D231BC" w:rsidRPr="00AC26F8">
        <w:rPr>
          <w:b/>
        </w:rPr>
        <w:t>ure</w:t>
      </w:r>
      <w:r w:rsidRPr="00AC26F8">
        <w:rPr>
          <w:b/>
        </w:rPr>
        <w:t xml:space="preserve"> 4. Oral bacteria in feces indicates gut microbiome density, disease status and severity, and intestinal fungal growth in patients with gastrointestinal diseases. </w:t>
      </w:r>
      <w:r w:rsidRPr="00AC26F8">
        <w:rPr>
          <w:bCs/>
        </w:rPr>
        <w:t>(</w:t>
      </w:r>
      <w:proofErr w:type="gramStart"/>
      <w:r w:rsidRPr="00AC26F8">
        <w:rPr>
          <w:b/>
        </w:rPr>
        <w:t>A</w:t>
      </w:r>
      <w:r w:rsidRPr="00AC26F8">
        <w:rPr>
          <w:bCs/>
        </w:rPr>
        <w:t>,</w:t>
      </w:r>
      <w:r w:rsidRPr="00AC26F8">
        <w:rPr>
          <w:b/>
        </w:rPr>
        <w:t>B</w:t>
      </w:r>
      <w:proofErr w:type="gramEnd"/>
      <w:r w:rsidRPr="00AC26F8">
        <w:rPr>
          <w:bCs/>
        </w:rPr>
        <w:t>)</w:t>
      </w:r>
      <w:r w:rsidRPr="00AC26F8">
        <w:t xml:space="preserve"> Quantitative relationship between proportion of oral bacteria and microbiome density (as a proxy of bacterial density) in the Mount Sinai cohort (</w:t>
      </w:r>
      <w:r w:rsidRPr="00AC26F8">
        <w:rPr>
          <w:bCs/>
        </w:rPr>
        <w:t>A</w:t>
      </w:r>
      <w:r w:rsidRPr="00AC26F8">
        <w:t>) and the LUMC cohort (</w:t>
      </w:r>
      <w:r w:rsidRPr="00AC26F8">
        <w:rPr>
          <w:bCs/>
        </w:rPr>
        <w:t>B</w:t>
      </w:r>
      <w:r w:rsidRPr="00AC26F8">
        <w:t xml:space="preserve">). Red and blue lines and associated shading areas represent best linear fits and 95% confidence intervals using data within the gray shaded area (oral bacteria </w:t>
      </w:r>
      <m:oMath>
        <m:r>
          <w:rPr>
            <w:rFonts w:ascii="Cambria Math" w:hAnsi="Cambria Math"/>
          </w:rPr>
          <m:t>≥</m:t>
        </m:r>
      </m:oMath>
      <w:r w:rsidRPr="00AC26F8">
        <w:t xml:space="preserve">3.4%) and the entire range respectively. Abbreviations: healthy control (HC); Crohn’s disease (CD); ulcerative colitis (UC); </w:t>
      </w:r>
      <w:r w:rsidRPr="00AC26F8">
        <w:rPr>
          <w:i/>
        </w:rPr>
        <w:t>Clostridioides difficile</w:t>
      </w:r>
      <w:r w:rsidRPr="00AC26F8">
        <w:t xml:space="preserve"> infection (CDI); recurrent</w:t>
      </w:r>
      <w:r w:rsidR="00583B68" w:rsidRPr="00AC26F8">
        <w:t xml:space="preserve"> </w:t>
      </w:r>
      <w:r w:rsidR="00EF7C24" w:rsidRPr="00AC26F8">
        <w:rPr>
          <w:i/>
        </w:rPr>
        <w:t>Clostridioides difficile</w:t>
      </w:r>
      <w:r w:rsidR="00EF7C24" w:rsidRPr="00AC26F8">
        <w:t xml:space="preserve"> infection </w:t>
      </w:r>
      <w:r w:rsidRPr="00AC26F8">
        <w:t>(rCDI); ileal pouch-anal anastomosis (IPAA); fecal microbiome transplantation (FMT); primary sclerosing cholangitis (PSC). (</w:t>
      </w:r>
      <w:r w:rsidRPr="00AC26F8">
        <w:rPr>
          <w:b/>
        </w:rPr>
        <w:t>C</w:t>
      </w:r>
      <w:r w:rsidRPr="00AC26F8">
        <w:rPr>
          <w:bCs/>
        </w:rPr>
        <w:t>-</w:t>
      </w:r>
      <w:r w:rsidRPr="00AC26F8">
        <w:rPr>
          <w:b/>
        </w:rPr>
        <w:t>F</w:t>
      </w:r>
      <w:r w:rsidRPr="00AC26F8">
        <w:t>) Fractions of oral bacteria in feces are associated with disease status (</w:t>
      </w:r>
      <w:proofErr w:type="gramStart"/>
      <w:r w:rsidRPr="00AC26F8">
        <w:t>C,D</w:t>
      </w:r>
      <w:proofErr w:type="gramEnd"/>
      <w:r w:rsidRPr="00AC26F8">
        <w:t xml:space="preserve">), severity (E) and fungal DNA fraction (F). Each dot represents a sample. Median and interquartile range are indicated by colored circles and bars respectively. The numbers above dashed lines indicate the percentage of samples with </w:t>
      </w:r>
      <m:oMath>
        <m:r>
          <w:rPr>
            <w:rFonts w:ascii="Cambria Math" w:hAnsi="Cambria Math"/>
          </w:rPr>
          <m:t>≥</m:t>
        </m:r>
      </m:oMath>
      <w:r w:rsidRPr="00AC26F8">
        <w:t xml:space="preserve">3.4% oral bacteria. </w:t>
      </w:r>
      <w:r w:rsidR="00F04562" w:rsidRPr="00AC26F8">
        <w:t>Data s</w:t>
      </w:r>
      <w:r w:rsidRPr="00AC26F8">
        <w:t>ources: CD and UC (the PRISM, LifeLinesDEEP and NLIBD cohorts), CDI (the UMH cohort), pediatric UC (the PROTECT cohort), and pediatric CD (the UPenn cohort). ***</w:t>
      </w:r>
      <w:r w:rsidRPr="00AC26F8">
        <w:rPr>
          <w:i/>
        </w:rPr>
        <w:t>P</w:t>
      </w:r>
      <w:r w:rsidRPr="00AC26F8">
        <w:t>&lt;0.001; *</w:t>
      </w:r>
      <w:r w:rsidRPr="00AC26F8">
        <w:rPr>
          <w:i/>
        </w:rPr>
        <w:t>P</w:t>
      </w:r>
      <w:r w:rsidRPr="00AC26F8">
        <w:t>&lt;0.05; Kruskal-</w:t>
      </w:r>
      <w:proofErr w:type="gramStart"/>
      <w:r w:rsidRPr="00AC26F8">
        <w:t>Wallis</w:t>
      </w:r>
      <w:proofErr w:type="gramEnd"/>
      <w:r w:rsidRPr="00AC26F8">
        <w:t xml:space="preserve"> test.</w:t>
      </w:r>
      <w:r w:rsidR="008835B5" w:rsidRPr="00AC26F8">
        <w:br w:type="page"/>
      </w:r>
    </w:p>
    <w:p w14:paraId="52D77DC1" w14:textId="77777777" w:rsidR="00A74768" w:rsidRPr="00AC26F8" w:rsidRDefault="00A74768" w:rsidP="00A00A4E">
      <w:pPr>
        <w:pStyle w:val="Acknowledgement"/>
        <w:ind w:left="0" w:firstLine="0"/>
        <w:rPr>
          <w:b/>
        </w:rPr>
      </w:pPr>
      <w:r w:rsidRPr="00AC26F8">
        <w:rPr>
          <w:b/>
        </w:rPr>
        <w:lastRenderedPageBreak/>
        <w:t>ACKNOWLEDGMENTS</w:t>
      </w:r>
    </w:p>
    <w:p w14:paraId="361AC186" w14:textId="481B5E25" w:rsidR="00E02A3B" w:rsidRPr="00AC26F8" w:rsidRDefault="00A74768" w:rsidP="00A00A4E">
      <w:pPr>
        <w:pStyle w:val="Acknowledgement"/>
        <w:ind w:left="0" w:firstLine="0"/>
      </w:pPr>
      <w:r w:rsidRPr="00AC26F8">
        <w:t>C.L. is supported by National Institutes of Health (NIH) grant nos. U01 AI124275 (J.B.X.), R01 AI137269 (J.B.X.) and U54 CA209975 (J.B.X.). T.R. is funded by Deutsche Forschungsgemeinschaft (DFG, German Research Foundation) grant no. RO-5328/1-2 (T.R.), NIH grant nos. R01 AI093808 (T.M.H.), R21 AI105617 (T.M.H.) and R21 AI156157 (T.M.H.).</w:t>
      </w:r>
      <w:r w:rsidR="00E02A3B">
        <w:t xml:space="preserve"> We thank Dr. Zhenjiang Xu for discussion so foral bacterial fraction estimation and thank Dr. Anna Staffas for providien the medadata of the bone-marrow-transplanted mouse.</w:t>
      </w:r>
    </w:p>
    <w:p w14:paraId="1083B5E3" w14:textId="77777777" w:rsidR="00A74768" w:rsidRPr="00AC26F8" w:rsidRDefault="00A74768" w:rsidP="00A00A4E">
      <w:pPr>
        <w:pStyle w:val="Acknowledgement"/>
        <w:ind w:left="0" w:firstLine="0"/>
        <w:rPr>
          <w:b/>
        </w:rPr>
      </w:pPr>
    </w:p>
    <w:p w14:paraId="27E571F9" w14:textId="77777777" w:rsidR="00A74768" w:rsidRPr="00AC26F8" w:rsidRDefault="00A74768" w:rsidP="00A00A4E">
      <w:pPr>
        <w:pStyle w:val="Acknowledgement"/>
        <w:ind w:left="0" w:firstLine="0"/>
      </w:pPr>
      <w:r w:rsidRPr="00AC26F8">
        <w:rPr>
          <w:b/>
        </w:rPr>
        <w:t>AUTHOR CONTRIBUTIONS</w:t>
      </w:r>
    </w:p>
    <w:p w14:paraId="28523340" w14:textId="4BF01898" w:rsidR="00A74768" w:rsidRPr="00AC26F8" w:rsidRDefault="00A74768" w:rsidP="00A00A4E">
      <w:pPr>
        <w:pStyle w:val="Acknowledgement"/>
        <w:ind w:left="0" w:firstLine="0"/>
        <w:rPr>
          <w:lang w:eastAsia="zh-CN"/>
        </w:rPr>
      </w:pPr>
      <w:r w:rsidRPr="00AC26F8">
        <w:t>Conceptualization, C.L., T.R. and J.B.X; Public microbiome dataset analysis</w:t>
      </w:r>
      <w:r w:rsidR="005605F8" w:rsidRPr="00AC26F8">
        <w:t>,</w:t>
      </w:r>
      <w:r w:rsidRPr="00AC26F8">
        <w:t xml:space="preserve"> C.L; Methodology</w:t>
      </w:r>
      <w:r w:rsidR="005605F8" w:rsidRPr="00AC26F8">
        <w:t xml:space="preserve">, </w:t>
      </w:r>
      <w:r w:rsidRPr="00AC26F8">
        <w:t>C.L.; Investigation</w:t>
      </w:r>
      <w:r w:rsidR="005605F8" w:rsidRPr="00AC26F8">
        <w:t xml:space="preserve">, </w:t>
      </w:r>
      <w:r w:rsidRPr="00AC26F8">
        <w:t>C.L. and T.R</w:t>
      </w:r>
      <w:r w:rsidR="005605F8" w:rsidRPr="00AC26F8">
        <w:t>;</w:t>
      </w:r>
      <w:r w:rsidRPr="00AC26F8">
        <w:t xml:space="preserve"> Writing – Original Draft, C.L., T.R.; Writing – Review and Editing, T.M.H., J.B.X., J.U.P., B.Z., and M.R.M.v.d.B; Supervision, J.B.X. and T.M.H.</w:t>
      </w:r>
    </w:p>
    <w:p w14:paraId="7484F743" w14:textId="77777777" w:rsidR="00A74768" w:rsidRPr="00AC26F8" w:rsidRDefault="00A74768" w:rsidP="00A00A4E">
      <w:pPr>
        <w:pStyle w:val="Acknowledgement"/>
        <w:ind w:left="0" w:firstLine="0"/>
        <w:rPr>
          <w:lang w:eastAsia="zh-CN"/>
        </w:rPr>
      </w:pPr>
    </w:p>
    <w:p w14:paraId="2C0EBD74" w14:textId="77777777" w:rsidR="00A74768" w:rsidRPr="00AC26F8" w:rsidRDefault="00A74768" w:rsidP="00A00A4E">
      <w:pPr>
        <w:pStyle w:val="Acknowledgement"/>
        <w:ind w:left="0" w:firstLine="0"/>
        <w:rPr>
          <w:b/>
        </w:rPr>
      </w:pPr>
      <w:r w:rsidRPr="00AC26F8">
        <w:rPr>
          <w:b/>
        </w:rPr>
        <w:t>DECLARATION OF INTERESTS</w:t>
      </w:r>
    </w:p>
    <w:p w14:paraId="4C86C536" w14:textId="4FB7CB73" w:rsidR="00A74768" w:rsidRPr="00AC26F8" w:rsidRDefault="00A74768" w:rsidP="00A00A4E">
      <w:pPr>
        <w:pStyle w:val="Acknowledgement"/>
        <w:ind w:left="0" w:firstLine="0"/>
      </w:pPr>
      <w:r w:rsidRPr="00AC26F8">
        <w:t>J.U.P. reports research funding, intellectual property fees and travel reimbursement from Seres Therapeutics and consulting fees from DaVolterra, CSL Behring and from Maat Pharma. He has filed intellectual property applications related to the microbiome (reference nos. 62/843,849, 62/977,908 and 15/756,845). M.R.M.v.d.B. has received research support from Seres Therapeutics; he has consulted, received honorarium from or participated in advisory boards for Seres Therapeutics, WindMIL Therapeutics, Rheos, Frazier Healthcare Partners, Nektar Therapeutics, Notch Therapeutics, Forty Seven Inc., Priothera, Ceramedix, Lygenesis, Pluto Immunotherapeutics, Magenta Therapeutics, Merck &amp; Co., Inc. and DKMS Medical Council (Board); and he has IP Licensing with Seres Therapeutics, Juno Therapeutics and stock options from Seres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A00A4E">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A00A4E">
      <w:pPr>
        <w:pStyle w:val="Acknowledgement"/>
        <w:ind w:left="0" w:firstLine="0"/>
        <w:rPr>
          <w:b/>
        </w:rPr>
      </w:pPr>
    </w:p>
    <w:p w14:paraId="09E10B45" w14:textId="14864837" w:rsidR="00410715" w:rsidRPr="00AC26F8" w:rsidRDefault="00410715" w:rsidP="00A00A4E">
      <w:pPr>
        <w:pStyle w:val="Acknowledgement"/>
        <w:ind w:left="0" w:firstLine="0"/>
        <w:rPr>
          <w:b/>
        </w:rPr>
      </w:pPr>
      <w:r w:rsidRPr="00AC26F8">
        <w:rPr>
          <w:b/>
        </w:rPr>
        <w:t>KEY RESOURCES TABLE</w:t>
      </w:r>
    </w:p>
    <w:p w14:paraId="2B6BEDA2" w14:textId="77777777" w:rsidR="009A3D03" w:rsidRPr="00AC26F8" w:rsidRDefault="009A3D03" w:rsidP="00A00A4E">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055"/>
        <w:gridCol w:w="3510"/>
        <w:gridCol w:w="2785"/>
      </w:tblGrid>
      <w:tr w:rsidR="00511986" w:rsidRPr="00AC26F8" w14:paraId="5FA9066E" w14:textId="77777777" w:rsidTr="00404258">
        <w:tc>
          <w:tcPr>
            <w:tcW w:w="3055" w:type="dxa"/>
          </w:tcPr>
          <w:p w14:paraId="5872F740" w14:textId="4F0D88DF" w:rsidR="009A3D03" w:rsidRPr="00AC26F8" w:rsidRDefault="009A3D03" w:rsidP="00A00A4E">
            <w:pPr>
              <w:pStyle w:val="Acknowledgement"/>
              <w:ind w:left="0" w:firstLine="0"/>
              <w:rPr>
                <w:b/>
                <w:lang w:eastAsia="zh-CN"/>
              </w:rPr>
            </w:pPr>
            <w:r w:rsidRPr="00AC26F8">
              <w:rPr>
                <w:b/>
                <w:lang w:eastAsia="zh-CN"/>
              </w:rPr>
              <w:t>REAGENT or RESOURCE</w:t>
            </w:r>
          </w:p>
        </w:tc>
        <w:tc>
          <w:tcPr>
            <w:tcW w:w="3510" w:type="dxa"/>
          </w:tcPr>
          <w:p w14:paraId="4D8445CA" w14:textId="3FF2A114" w:rsidR="009A3D03" w:rsidRPr="00AC26F8" w:rsidRDefault="009A3D03" w:rsidP="00A00A4E">
            <w:pPr>
              <w:pStyle w:val="Acknowledgement"/>
              <w:ind w:left="0" w:firstLine="0"/>
              <w:jc w:val="center"/>
              <w:rPr>
                <w:b/>
                <w:lang w:eastAsia="zh-CN"/>
              </w:rPr>
            </w:pPr>
            <w:r w:rsidRPr="00AC26F8">
              <w:rPr>
                <w:b/>
                <w:lang w:eastAsia="zh-CN"/>
              </w:rPr>
              <w:t>RESOURCE</w:t>
            </w:r>
          </w:p>
        </w:tc>
        <w:tc>
          <w:tcPr>
            <w:tcW w:w="2785" w:type="dxa"/>
          </w:tcPr>
          <w:p w14:paraId="667633AB" w14:textId="0242EABB" w:rsidR="009A3D03" w:rsidRPr="00AC26F8" w:rsidRDefault="009A3D03" w:rsidP="00A00A4E">
            <w:pPr>
              <w:pStyle w:val="Acknowledgement"/>
              <w:ind w:left="0" w:firstLine="0"/>
              <w:jc w:val="center"/>
              <w:rPr>
                <w:b/>
                <w:lang w:eastAsia="zh-CN"/>
              </w:rPr>
            </w:pPr>
            <w:r w:rsidRPr="00AC26F8">
              <w:rPr>
                <w:b/>
                <w:lang w:eastAsia="zh-CN"/>
              </w:rPr>
              <w:t>IDENTIFIER</w:t>
            </w:r>
          </w:p>
        </w:tc>
      </w:tr>
      <w:tr w:rsidR="009A3D03" w:rsidRPr="00AC26F8" w14:paraId="46543B36" w14:textId="77777777" w:rsidTr="00135D36">
        <w:tc>
          <w:tcPr>
            <w:tcW w:w="9350" w:type="dxa"/>
            <w:gridSpan w:val="3"/>
          </w:tcPr>
          <w:p w14:paraId="00BF4F5C" w14:textId="1AEAC1CB" w:rsidR="009A3D03" w:rsidRPr="00AC26F8" w:rsidRDefault="009A3D03" w:rsidP="00A00A4E">
            <w:pPr>
              <w:pStyle w:val="Acknowledgement"/>
              <w:ind w:left="0" w:firstLine="0"/>
              <w:rPr>
                <w:b/>
                <w:lang w:eastAsia="zh-CN"/>
              </w:rPr>
            </w:pPr>
            <w:r w:rsidRPr="00AC26F8">
              <w:rPr>
                <w:b/>
                <w:lang w:eastAsia="zh-CN"/>
              </w:rPr>
              <w:t>Deposited Data</w:t>
            </w:r>
          </w:p>
        </w:tc>
      </w:tr>
      <w:tr w:rsidR="00511986" w:rsidRPr="00AC26F8" w14:paraId="3B094576" w14:textId="77777777" w:rsidTr="00135D36">
        <w:tc>
          <w:tcPr>
            <w:tcW w:w="3055" w:type="dxa"/>
          </w:tcPr>
          <w:p w14:paraId="287068B4" w14:textId="4AA127D7" w:rsidR="00A4710C" w:rsidRPr="00AC26F8" w:rsidRDefault="00A4710C" w:rsidP="00A00A4E">
            <w:pPr>
              <w:pStyle w:val="Acknowledgement"/>
              <w:ind w:left="0" w:firstLine="0"/>
              <w:rPr>
                <w:bCs/>
                <w:lang w:eastAsia="zh-CN"/>
              </w:rPr>
            </w:pPr>
            <w:r w:rsidRPr="00AC26F8">
              <w:rPr>
                <w:bCs/>
                <w:lang w:eastAsia="zh-CN"/>
              </w:rPr>
              <w:t>Human Microbiome Project</w:t>
            </w:r>
          </w:p>
        </w:tc>
        <w:tc>
          <w:tcPr>
            <w:tcW w:w="3510" w:type="dxa"/>
          </w:tcPr>
          <w:p w14:paraId="7B6D7769" w14:textId="5B395C94" w:rsidR="00A4710C"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rPr>
                <w:bCs/>
                <w:lang w:eastAsia="zh-CN"/>
              </w:rPr>
              <w:fldChar w:fldCharType="separate"/>
            </w:r>
            <w:r w:rsidR="00D42550" w:rsidRPr="00AC26F8">
              <w:rPr>
                <w:bCs/>
                <w:lang w:eastAsia="zh-CN"/>
              </w:rPr>
              <w:t>Human Microbiome Project Consortium, 2012</w:t>
            </w:r>
            <w:r w:rsidRPr="00AC26F8">
              <w:rPr>
                <w:bCs/>
                <w:lang w:eastAsia="zh-CN"/>
              </w:rPr>
              <w:fldChar w:fldCharType="end"/>
            </w:r>
          </w:p>
        </w:tc>
        <w:tc>
          <w:tcPr>
            <w:tcW w:w="2785" w:type="dxa"/>
          </w:tcPr>
          <w:p w14:paraId="26B27314" w14:textId="77777777" w:rsidR="00E61B1A" w:rsidRPr="00AC26F8" w:rsidRDefault="00E61B1A" w:rsidP="00A00A4E">
            <w:pPr>
              <w:rPr>
                <w:bCs/>
              </w:rPr>
            </w:pPr>
          </w:p>
          <w:p w14:paraId="318AF5ED" w14:textId="7B8133F0" w:rsidR="00A4710C" w:rsidRPr="00AC26F8" w:rsidRDefault="00EF41AD" w:rsidP="00A00A4E">
            <w:pPr>
              <w:rPr>
                <w:bCs/>
              </w:rPr>
            </w:pPr>
            <w:r w:rsidRPr="00AC26F8">
              <w:rPr>
                <w:bCs/>
              </w:rPr>
              <w:t xml:space="preserve">SRA study </w:t>
            </w:r>
            <w:r w:rsidR="00EC47AA" w:rsidRPr="00AC26F8">
              <w:rPr>
                <w:bCs/>
              </w:rPr>
              <w:t>PRJNA48489</w:t>
            </w:r>
          </w:p>
        </w:tc>
      </w:tr>
      <w:tr w:rsidR="00511986" w:rsidRPr="00AC26F8" w14:paraId="2092370D" w14:textId="77777777" w:rsidTr="00135D36">
        <w:tc>
          <w:tcPr>
            <w:tcW w:w="3055" w:type="dxa"/>
          </w:tcPr>
          <w:p w14:paraId="6AB1BC40" w14:textId="77777777" w:rsidR="00135D36" w:rsidRPr="00AC26F8" w:rsidRDefault="00135D36" w:rsidP="00A00A4E">
            <w:pPr>
              <w:pStyle w:val="Acknowledgement"/>
              <w:ind w:left="0" w:firstLine="0"/>
              <w:rPr>
                <w:bCs/>
                <w:lang w:eastAsia="zh-CN"/>
              </w:rPr>
            </w:pPr>
          </w:p>
          <w:p w14:paraId="6DBA9AD4" w14:textId="621F6D52" w:rsidR="00A4710C" w:rsidRPr="00AC26F8" w:rsidRDefault="009E5567" w:rsidP="00A00A4E">
            <w:pPr>
              <w:pStyle w:val="Acknowledgement"/>
              <w:ind w:left="0" w:firstLine="0"/>
              <w:rPr>
                <w:bCs/>
                <w:lang w:eastAsia="zh-CN"/>
              </w:rPr>
            </w:pPr>
            <w:r w:rsidRPr="00AC26F8">
              <w:rPr>
                <w:bCs/>
                <w:lang w:eastAsia="zh-CN"/>
              </w:rPr>
              <w:t>MSK cohort</w:t>
            </w:r>
          </w:p>
        </w:tc>
        <w:tc>
          <w:tcPr>
            <w:tcW w:w="3510" w:type="dxa"/>
          </w:tcPr>
          <w:p w14:paraId="0C5130C9" w14:textId="77777777" w:rsidR="00135D36" w:rsidRPr="00AC26F8" w:rsidRDefault="00135D36" w:rsidP="00A00A4E">
            <w:pPr>
              <w:pStyle w:val="Acknowledgement"/>
              <w:ind w:left="0" w:firstLine="0"/>
              <w:rPr>
                <w:bCs/>
                <w:lang w:eastAsia="zh-CN"/>
              </w:rPr>
            </w:pPr>
          </w:p>
          <w:p w14:paraId="2AD2A47D" w14:textId="7E90992C" w:rsidR="00A4710C"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Pr="00AC26F8">
              <w:rPr>
                <w:bCs/>
                <w:lang w:eastAsia="zh-CN"/>
              </w:rPr>
              <w:fldChar w:fldCharType="separate"/>
            </w:r>
            <w:r w:rsidR="00D42550" w:rsidRPr="00AC26F8">
              <w:rPr>
                <w:bCs/>
                <w:lang w:eastAsia="zh-CN"/>
              </w:rPr>
              <w:t>Liao et al., 2021; Yan et al., 2021</w:t>
            </w:r>
            <w:r w:rsidRPr="00AC26F8">
              <w:rPr>
                <w:bCs/>
                <w:lang w:eastAsia="zh-CN"/>
              </w:rPr>
              <w:fldChar w:fldCharType="end"/>
            </w:r>
          </w:p>
        </w:tc>
        <w:tc>
          <w:tcPr>
            <w:tcW w:w="2785" w:type="dxa"/>
          </w:tcPr>
          <w:p w14:paraId="6DFD116B" w14:textId="53344CD0" w:rsidR="00A4710C" w:rsidRPr="00AC26F8" w:rsidRDefault="00EF41AD" w:rsidP="00A00A4E">
            <w:pPr>
              <w:pStyle w:val="Acknowledgement"/>
              <w:ind w:left="0" w:firstLine="0"/>
              <w:rPr>
                <w:bCs/>
                <w:lang w:eastAsia="zh-CN"/>
              </w:rPr>
            </w:pPr>
            <w:r w:rsidRPr="00AC26F8">
              <w:rPr>
                <w:bCs/>
                <w:lang w:eastAsia="zh-CN"/>
              </w:rPr>
              <w:t xml:space="preserve">SRA studies </w:t>
            </w:r>
            <w:r w:rsidR="00EC47AA" w:rsidRPr="00AC26F8">
              <w:rPr>
                <w:bCs/>
                <w:lang w:eastAsia="zh-CN"/>
              </w:rPr>
              <w:t>PRJNA394877, PRJNA607574, PRJNA606262, PRJNA548153, PRJNA545312</w:t>
            </w:r>
          </w:p>
        </w:tc>
      </w:tr>
      <w:tr w:rsidR="00511986" w:rsidRPr="00AC26F8" w14:paraId="757F0901" w14:textId="77777777" w:rsidTr="00135D36">
        <w:tc>
          <w:tcPr>
            <w:tcW w:w="3055" w:type="dxa"/>
          </w:tcPr>
          <w:p w14:paraId="2456A6E5" w14:textId="7618C259" w:rsidR="00A4710C" w:rsidRPr="00AC26F8" w:rsidRDefault="009E5567" w:rsidP="00A00A4E">
            <w:pPr>
              <w:pStyle w:val="Acknowledgement"/>
              <w:ind w:left="0" w:firstLine="0"/>
              <w:rPr>
                <w:bCs/>
                <w:lang w:eastAsia="zh-CN"/>
              </w:rPr>
            </w:pPr>
            <w:r w:rsidRPr="00AC26F8">
              <w:rPr>
                <w:bCs/>
                <w:lang w:eastAsia="zh-CN"/>
              </w:rPr>
              <w:t>PRISM, LifeLines DEEP and NLIDB cohorts</w:t>
            </w:r>
          </w:p>
        </w:tc>
        <w:tc>
          <w:tcPr>
            <w:tcW w:w="3510" w:type="dxa"/>
          </w:tcPr>
          <w:p w14:paraId="2B4D695F" w14:textId="4BE36183" w:rsidR="00A4710C"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Pr="00AC26F8">
              <w:rPr>
                <w:bCs/>
                <w:lang w:eastAsia="zh-CN"/>
              </w:rPr>
              <w:fldChar w:fldCharType="separate"/>
            </w:r>
            <w:r w:rsidR="00D42550" w:rsidRPr="00AC26F8">
              <w:rPr>
                <w:bCs/>
                <w:lang w:eastAsia="zh-CN"/>
              </w:rPr>
              <w:t>Franzosa et al., 2019</w:t>
            </w:r>
            <w:r w:rsidRPr="00AC26F8">
              <w:rPr>
                <w:bCs/>
                <w:lang w:eastAsia="zh-CN"/>
              </w:rPr>
              <w:fldChar w:fldCharType="end"/>
            </w:r>
          </w:p>
        </w:tc>
        <w:tc>
          <w:tcPr>
            <w:tcW w:w="2785" w:type="dxa"/>
          </w:tcPr>
          <w:p w14:paraId="130C55DE" w14:textId="77777777" w:rsidR="005A4995" w:rsidRPr="00AC26F8" w:rsidRDefault="005A4995" w:rsidP="00A00A4E">
            <w:pPr>
              <w:rPr>
                <w:bCs/>
              </w:rPr>
            </w:pPr>
          </w:p>
          <w:p w14:paraId="53D0349B" w14:textId="4ECFC02D" w:rsidR="009E5567" w:rsidRPr="00AC26F8" w:rsidRDefault="00EF41AD" w:rsidP="00A00A4E">
            <w:pPr>
              <w:rPr>
                <w:bCs/>
              </w:rPr>
            </w:pPr>
            <w:r w:rsidRPr="00AC26F8">
              <w:rPr>
                <w:bCs/>
              </w:rPr>
              <w:t xml:space="preserve">SRA study </w:t>
            </w:r>
            <w:hyperlink r:id="rId14" w:history="1">
              <w:r w:rsidR="005B7A6E" w:rsidRPr="00AC26F8">
                <w:rPr>
                  <w:bCs/>
                </w:rPr>
                <w:t>PRJNA400072</w:t>
              </w:r>
            </w:hyperlink>
          </w:p>
        </w:tc>
      </w:tr>
      <w:tr w:rsidR="008000E7" w:rsidRPr="00AC26F8" w14:paraId="6FE62AA4" w14:textId="77777777" w:rsidTr="00135D36">
        <w:tc>
          <w:tcPr>
            <w:tcW w:w="3055" w:type="dxa"/>
          </w:tcPr>
          <w:p w14:paraId="033437C9" w14:textId="38CC0508" w:rsidR="009E5567" w:rsidRPr="00AC26F8" w:rsidRDefault="009E5567" w:rsidP="00A00A4E">
            <w:pPr>
              <w:pStyle w:val="Acknowledgement"/>
              <w:ind w:left="0" w:firstLine="0"/>
              <w:rPr>
                <w:bCs/>
                <w:lang w:eastAsia="zh-CN"/>
              </w:rPr>
            </w:pPr>
            <w:r w:rsidRPr="00AC26F8">
              <w:rPr>
                <w:bCs/>
                <w:lang w:eastAsia="zh-CN"/>
              </w:rPr>
              <w:t>UMH cohort</w:t>
            </w:r>
          </w:p>
        </w:tc>
        <w:tc>
          <w:tcPr>
            <w:tcW w:w="3510" w:type="dxa"/>
          </w:tcPr>
          <w:p w14:paraId="054CCB67" w14:textId="7A397BFA" w:rsidR="009E5567"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Pr="00AC26F8">
              <w:rPr>
                <w:bCs/>
                <w:lang w:eastAsia="zh-CN"/>
              </w:rPr>
              <w:fldChar w:fldCharType="separate"/>
            </w:r>
            <w:r w:rsidR="00D42550" w:rsidRPr="00AC26F8">
              <w:rPr>
                <w:bCs/>
                <w:lang w:eastAsia="zh-CN"/>
              </w:rPr>
              <w:t>Schubert et al., 2014</w:t>
            </w:r>
            <w:r w:rsidRPr="00AC26F8">
              <w:rPr>
                <w:bCs/>
                <w:lang w:eastAsia="zh-CN"/>
              </w:rPr>
              <w:fldChar w:fldCharType="end"/>
            </w:r>
          </w:p>
        </w:tc>
        <w:tc>
          <w:tcPr>
            <w:tcW w:w="2785" w:type="dxa"/>
          </w:tcPr>
          <w:p w14:paraId="6E23D66E" w14:textId="15CC1F82" w:rsidR="009E5567" w:rsidRPr="00AC26F8" w:rsidRDefault="005B7A6E" w:rsidP="00A00A4E">
            <w:pPr>
              <w:pStyle w:val="Acknowledgement"/>
              <w:ind w:left="0" w:firstLine="0"/>
              <w:rPr>
                <w:bCs/>
                <w:lang w:eastAsia="zh-CN"/>
              </w:rPr>
            </w:pPr>
            <w:r w:rsidRPr="00AC26F8">
              <w:rPr>
                <w:bCs/>
                <w:lang w:eastAsia="zh-CN"/>
              </w:rPr>
              <w:t>mothur.org/CDI_MicrobiomeModeling/</w:t>
            </w:r>
          </w:p>
        </w:tc>
      </w:tr>
      <w:tr w:rsidR="008000E7" w:rsidRPr="00AC26F8" w14:paraId="76A48F88" w14:textId="77777777" w:rsidTr="00135D36">
        <w:tc>
          <w:tcPr>
            <w:tcW w:w="3055" w:type="dxa"/>
          </w:tcPr>
          <w:p w14:paraId="5687E6A7" w14:textId="3A328E15" w:rsidR="009E5567" w:rsidRPr="00AC26F8" w:rsidRDefault="009E5567" w:rsidP="00A00A4E">
            <w:pPr>
              <w:pStyle w:val="Acknowledgement"/>
              <w:ind w:left="0" w:firstLine="0"/>
              <w:rPr>
                <w:bCs/>
                <w:lang w:eastAsia="zh-CN"/>
              </w:rPr>
            </w:pPr>
            <w:r w:rsidRPr="00AC26F8">
              <w:rPr>
                <w:bCs/>
                <w:lang w:eastAsia="zh-CN"/>
              </w:rPr>
              <w:t>RISK</w:t>
            </w:r>
            <w:r w:rsidR="00900149" w:rsidRPr="00AC26F8">
              <w:rPr>
                <w:bCs/>
                <w:lang w:eastAsia="zh-CN"/>
              </w:rPr>
              <w:t xml:space="preserve"> cohort</w:t>
            </w:r>
          </w:p>
        </w:tc>
        <w:tc>
          <w:tcPr>
            <w:tcW w:w="3510" w:type="dxa"/>
          </w:tcPr>
          <w:p w14:paraId="36A882AA" w14:textId="279E531A" w:rsidR="009E5567"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Pr="00AC26F8">
              <w:rPr>
                <w:bCs/>
                <w:lang w:eastAsia="zh-CN"/>
              </w:rPr>
              <w:fldChar w:fldCharType="separate"/>
            </w:r>
            <w:r w:rsidR="00D42550" w:rsidRPr="00AC26F8">
              <w:rPr>
                <w:bCs/>
                <w:lang w:eastAsia="zh-CN"/>
              </w:rPr>
              <w:t>Gevers et al., 2014</w:t>
            </w:r>
            <w:r w:rsidRPr="00AC26F8">
              <w:rPr>
                <w:bCs/>
                <w:lang w:eastAsia="zh-CN"/>
              </w:rPr>
              <w:fldChar w:fldCharType="end"/>
            </w:r>
          </w:p>
        </w:tc>
        <w:tc>
          <w:tcPr>
            <w:tcW w:w="2785" w:type="dxa"/>
          </w:tcPr>
          <w:p w14:paraId="79A9801B" w14:textId="1E5BA546" w:rsidR="009E5567" w:rsidRPr="00AC26F8" w:rsidRDefault="00EF41AD" w:rsidP="00A00A4E">
            <w:pPr>
              <w:pStyle w:val="NormalWeb"/>
              <w:rPr>
                <w:bCs/>
              </w:rPr>
            </w:pPr>
            <w:r w:rsidRPr="00AC26F8">
              <w:rPr>
                <w:bCs/>
              </w:rPr>
              <w:t xml:space="preserve">SRA study SRP040765 </w:t>
            </w:r>
          </w:p>
        </w:tc>
      </w:tr>
      <w:tr w:rsidR="008000E7" w:rsidRPr="00AC26F8" w14:paraId="7E5427D3" w14:textId="77777777" w:rsidTr="00135D36">
        <w:tc>
          <w:tcPr>
            <w:tcW w:w="3055" w:type="dxa"/>
          </w:tcPr>
          <w:p w14:paraId="379C664C" w14:textId="60E41073" w:rsidR="009E5567" w:rsidRPr="00AC26F8" w:rsidRDefault="009E5567" w:rsidP="00A00A4E">
            <w:pPr>
              <w:pStyle w:val="Acknowledgement"/>
              <w:ind w:left="0" w:firstLine="0"/>
              <w:rPr>
                <w:bCs/>
                <w:lang w:eastAsia="zh-CN"/>
              </w:rPr>
            </w:pPr>
            <w:r w:rsidRPr="00AC26F8">
              <w:rPr>
                <w:bCs/>
                <w:lang w:eastAsia="zh-CN"/>
              </w:rPr>
              <w:t>Belgium PSC/IBD cohort</w:t>
            </w:r>
          </w:p>
        </w:tc>
        <w:tc>
          <w:tcPr>
            <w:tcW w:w="3510" w:type="dxa"/>
          </w:tcPr>
          <w:p w14:paraId="060D5498" w14:textId="284BFA21" w:rsidR="009E5567"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Pr="00AC26F8">
              <w:rPr>
                <w:bCs/>
                <w:lang w:eastAsia="zh-CN"/>
              </w:rPr>
              <w:fldChar w:fldCharType="separate"/>
            </w:r>
            <w:r w:rsidR="00D42550" w:rsidRPr="00AC26F8">
              <w:rPr>
                <w:bCs/>
                <w:lang w:eastAsia="zh-CN"/>
              </w:rPr>
              <w:t>Vieira-Silva et al., 2019</w:t>
            </w:r>
            <w:r w:rsidRPr="00AC26F8">
              <w:rPr>
                <w:bCs/>
                <w:lang w:eastAsia="zh-CN"/>
              </w:rPr>
              <w:fldChar w:fldCharType="end"/>
            </w:r>
          </w:p>
        </w:tc>
        <w:tc>
          <w:tcPr>
            <w:tcW w:w="2785" w:type="dxa"/>
          </w:tcPr>
          <w:p w14:paraId="2130771C" w14:textId="77777777" w:rsidR="00EF41AD" w:rsidRPr="00AC26F8" w:rsidRDefault="00EF41AD" w:rsidP="00A00A4E">
            <w:pPr>
              <w:rPr>
                <w:bCs/>
              </w:rPr>
            </w:pPr>
            <w:r w:rsidRPr="00AC26F8">
              <w:rPr>
                <w:bCs/>
              </w:rPr>
              <w:t>European Genome-phenome Archive</w:t>
            </w:r>
          </w:p>
          <w:p w14:paraId="4872FCAC" w14:textId="05931F2E" w:rsidR="009E5567" w:rsidRPr="00AC26F8" w:rsidRDefault="00EF41AD" w:rsidP="00A00A4E">
            <w:pPr>
              <w:rPr>
                <w:bCs/>
              </w:rPr>
            </w:pPr>
            <w:r w:rsidRPr="00AC26F8">
              <w:rPr>
                <w:bCs/>
              </w:rPr>
              <w:t>EGAS00001003600</w:t>
            </w:r>
          </w:p>
        </w:tc>
      </w:tr>
      <w:tr w:rsidR="008000E7" w:rsidRPr="00AC26F8" w14:paraId="0A61FB62" w14:textId="77777777" w:rsidTr="00135D36">
        <w:tc>
          <w:tcPr>
            <w:tcW w:w="3055" w:type="dxa"/>
          </w:tcPr>
          <w:p w14:paraId="6E44188B" w14:textId="3DA8A887" w:rsidR="009E5567" w:rsidRPr="00AC26F8" w:rsidRDefault="009E5567" w:rsidP="00A00A4E">
            <w:pPr>
              <w:pStyle w:val="Acknowledgement"/>
              <w:ind w:left="0" w:firstLine="0"/>
              <w:rPr>
                <w:bCs/>
                <w:lang w:eastAsia="zh-CN"/>
              </w:rPr>
            </w:pPr>
            <w:r w:rsidRPr="00AC26F8">
              <w:rPr>
                <w:bCs/>
                <w:lang w:eastAsia="zh-CN"/>
              </w:rPr>
              <w:t>PROTECT cohort</w:t>
            </w:r>
          </w:p>
        </w:tc>
        <w:tc>
          <w:tcPr>
            <w:tcW w:w="3510" w:type="dxa"/>
          </w:tcPr>
          <w:p w14:paraId="456E7073" w14:textId="6F576995" w:rsidR="009E5567" w:rsidRPr="00AC26F8" w:rsidRDefault="0049059B"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Pr="00AC26F8">
              <w:rPr>
                <w:bCs/>
                <w:lang w:eastAsia="zh-CN"/>
              </w:rPr>
              <w:fldChar w:fldCharType="separate"/>
            </w:r>
            <w:r w:rsidR="00D42550" w:rsidRPr="00AC26F8">
              <w:rPr>
                <w:bCs/>
                <w:lang w:eastAsia="zh-CN"/>
              </w:rPr>
              <w:t>Schirmer et al., 2018</w:t>
            </w:r>
            <w:r w:rsidRPr="00AC26F8">
              <w:rPr>
                <w:bCs/>
                <w:lang w:eastAsia="zh-CN"/>
              </w:rPr>
              <w:fldChar w:fldCharType="end"/>
            </w:r>
          </w:p>
        </w:tc>
        <w:tc>
          <w:tcPr>
            <w:tcW w:w="2785" w:type="dxa"/>
          </w:tcPr>
          <w:p w14:paraId="38DCD19B" w14:textId="1FAE7A5C" w:rsidR="009E5567" w:rsidRPr="00AC26F8" w:rsidRDefault="00EF41AD" w:rsidP="00A00A4E">
            <w:pPr>
              <w:rPr>
                <w:bCs/>
              </w:rPr>
            </w:pPr>
            <w:r w:rsidRPr="00AC26F8">
              <w:rPr>
                <w:bCs/>
              </w:rPr>
              <w:t>SRA study PRJNA436359</w:t>
            </w:r>
          </w:p>
        </w:tc>
      </w:tr>
      <w:tr w:rsidR="008000E7" w:rsidRPr="00AC26F8" w14:paraId="58F5FF99" w14:textId="77777777" w:rsidTr="00135D36">
        <w:tc>
          <w:tcPr>
            <w:tcW w:w="3055" w:type="dxa"/>
          </w:tcPr>
          <w:p w14:paraId="5C0EDB17" w14:textId="45C863C4" w:rsidR="009E5567" w:rsidRPr="00AC26F8" w:rsidRDefault="009E5567" w:rsidP="00A00A4E">
            <w:pPr>
              <w:pStyle w:val="Acknowledgement"/>
              <w:ind w:left="0" w:firstLine="0"/>
              <w:rPr>
                <w:bCs/>
                <w:lang w:eastAsia="zh-CN"/>
              </w:rPr>
            </w:pPr>
            <w:r w:rsidRPr="00AC26F8">
              <w:rPr>
                <w:bCs/>
                <w:lang w:eastAsia="zh-CN"/>
              </w:rPr>
              <w:t>Mount Sinai cohort</w:t>
            </w:r>
          </w:p>
        </w:tc>
        <w:tc>
          <w:tcPr>
            <w:tcW w:w="3510" w:type="dxa"/>
          </w:tcPr>
          <w:p w14:paraId="40F7F38C" w14:textId="007F245A" w:rsidR="009E5567"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Pr="00AC26F8">
              <w:rPr>
                <w:bCs/>
                <w:lang w:eastAsia="zh-CN"/>
              </w:rPr>
              <w:fldChar w:fldCharType="separate"/>
            </w:r>
            <w:r w:rsidR="00D42550" w:rsidRPr="00AC26F8">
              <w:rPr>
                <w:bCs/>
                <w:lang w:eastAsia="zh-CN"/>
              </w:rPr>
              <w:t>Contijoch et al., 2019</w:t>
            </w:r>
            <w:r w:rsidRPr="00AC26F8">
              <w:rPr>
                <w:bCs/>
                <w:lang w:eastAsia="zh-CN"/>
              </w:rPr>
              <w:fldChar w:fldCharType="end"/>
            </w:r>
          </w:p>
        </w:tc>
        <w:tc>
          <w:tcPr>
            <w:tcW w:w="2785" w:type="dxa"/>
          </w:tcPr>
          <w:p w14:paraId="034714CF" w14:textId="40E0969E" w:rsidR="009E5567" w:rsidRPr="00AC26F8" w:rsidRDefault="00EF41AD" w:rsidP="00A00A4E">
            <w:pPr>
              <w:pStyle w:val="Acknowledgement"/>
              <w:ind w:left="0" w:firstLine="0"/>
              <w:rPr>
                <w:bCs/>
                <w:lang w:eastAsia="zh-CN"/>
              </w:rPr>
            </w:pPr>
            <w:r w:rsidRPr="00AC26F8">
              <w:rPr>
                <w:bCs/>
                <w:lang w:eastAsia="zh-CN"/>
              </w:rPr>
              <w:t xml:space="preserve">SRA study </w:t>
            </w:r>
            <w:r w:rsidR="009E5567" w:rsidRPr="00AC26F8">
              <w:rPr>
                <w:bCs/>
                <w:lang w:eastAsia="zh-CN"/>
              </w:rPr>
              <w:t>PRJNA413199</w:t>
            </w:r>
          </w:p>
        </w:tc>
      </w:tr>
      <w:tr w:rsidR="008000E7" w:rsidRPr="00AC26F8" w14:paraId="0ED71AE7" w14:textId="77777777" w:rsidTr="00135D36">
        <w:tc>
          <w:tcPr>
            <w:tcW w:w="3055" w:type="dxa"/>
          </w:tcPr>
          <w:p w14:paraId="339F8BAA" w14:textId="11C36605" w:rsidR="009E5567" w:rsidRPr="00AC26F8" w:rsidRDefault="009E5567" w:rsidP="00A00A4E">
            <w:pPr>
              <w:pStyle w:val="Acknowledgement"/>
              <w:ind w:left="0" w:firstLine="0"/>
              <w:rPr>
                <w:bCs/>
                <w:lang w:eastAsia="zh-CN"/>
              </w:rPr>
            </w:pPr>
            <w:r w:rsidRPr="00AC26F8">
              <w:rPr>
                <w:bCs/>
                <w:lang w:eastAsia="zh-CN"/>
              </w:rPr>
              <w:t>LUMC cohort</w:t>
            </w:r>
          </w:p>
        </w:tc>
        <w:tc>
          <w:tcPr>
            <w:tcW w:w="3510" w:type="dxa"/>
          </w:tcPr>
          <w:p w14:paraId="0ABDC02B" w14:textId="737A4507" w:rsidR="009E5567"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Pr="00AC26F8">
              <w:rPr>
                <w:bCs/>
                <w:lang w:eastAsia="zh-CN"/>
              </w:rPr>
              <w:fldChar w:fldCharType="separate"/>
            </w:r>
            <w:r w:rsidR="00D42550" w:rsidRPr="00AC26F8">
              <w:rPr>
                <w:bCs/>
                <w:lang w:eastAsia="zh-CN"/>
              </w:rPr>
              <w:t>Bekker et al., 2019</w:t>
            </w:r>
            <w:r w:rsidRPr="00AC26F8">
              <w:rPr>
                <w:bCs/>
                <w:lang w:eastAsia="zh-CN"/>
              </w:rPr>
              <w:fldChar w:fldCharType="end"/>
            </w:r>
          </w:p>
        </w:tc>
        <w:tc>
          <w:tcPr>
            <w:tcW w:w="2785" w:type="dxa"/>
          </w:tcPr>
          <w:p w14:paraId="2C81E912" w14:textId="5BAF08A9" w:rsidR="009E5567" w:rsidRPr="00AC26F8" w:rsidRDefault="00EF41AD" w:rsidP="00A00A4E">
            <w:pPr>
              <w:pStyle w:val="Acknowledgement"/>
              <w:ind w:left="0" w:firstLine="0"/>
              <w:rPr>
                <w:bCs/>
                <w:lang w:eastAsia="zh-CN"/>
              </w:rPr>
            </w:pPr>
            <w:r w:rsidRPr="00AC26F8">
              <w:rPr>
                <w:bCs/>
                <w:lang w:eastAsia="zh-CN"/>
              </w:rPr>
              <w:t xml:space="preserve">SRA study </w:t>
            </w:r>
            <w:r w:rsidR="009E5567" w:rsidRPr="00AC26F8">
              <w:rPr>
                <w:bCs/>
                <w:lang w:eastAsia="zh-CN"/>
              </w:rPr>
              <w:t>PRJEB28845</w:t>
            </w:r>
          </w:p>
        </w:tc>
      </w:tr>
      <w:tr w:rsidR="008000E7" w:rsidRPr="00AC26F8" w14:paraId="52C0400C" w14:textId="77777777" w:rsidTr="00135D36">
        <w:tc>
          <w:tcPr>
            <w:tcW w:w="3055" w:type="dxa"/>
          </w:tcPr>
          <w:p w14:paraId="5F66728A" w14:textId="6830F347" w:rsidR="009E5567" w:rsidRPr="00AC26F8" w:rsidRDefault="009E5567" w:rsidP="00A00A4E">
            <w:pPr>
              <w:pStyle w:val="Acknowledgement"/>
              <w:ind w:left="0" w:firstLine="0"/>
              <w:rPr>
                <w:bCs/>
                <w:lang w:eastAsia="zh-CN"/>
              </w:rPr>
            </w:pPr>
            <w:r w:rsidRPr="00AC26F8">
              <w:rPr>
                <w:bCs/>
                <w:lang w:eastAsia="zh-CN"/>
              </w:rPr>
              <w:t>UPenn cohort</w:t>
            </w:r>
          </w:p>
        </w:tc>
        <w:tc>
          <w:tcPr>
            <w:tcW w:w="3510" w:type="dxa"/>
          </w:tcPr>
          <w:p w14:paraId="7845097F" w14:textId="531A3862" w:rsidR="009E5567"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Pr="00AC26F8">
              <w:rPr>
                <w:bCs/>
                <w:lang w:eastAsia="zh-CN"/>
              </w:rPr>
              <w:fldChar w:fldCharType="separate"/>
            </w:r>
            <w:r w:rsidR="00D42550" w:rsidRPr="00AC26F8">
              <w:rPr>
                <w:bCs/>
                <w:lang w:eastAsia="zh-CN"/>
              </w:rPr>
              <w:t>Lewis et al., 2015</w:t>
            </w:r>
            <w:r w:rsidRPr="00AC26F8">
              <w:rPr>
                <w:bCs/>
                <w:lang w:eastAsia="zh-CN"/>
              </w:rPr>
              <w:fldChar w:fldCharType="end"/>
            </w:r>
          </w:p>
        </w:tc>
        <w:tc>
          <w:tcPr>
            <w:tcW w:w="2785" w:type="dxa"/>
          </w:tcPr>
          <w:p w14:paraId="0B8A4686" w14:textId="4A02E512" w:rsidR="009E5567" w:rsidRPr="00AC26F8" w:rsidRDefault="00EF41AD" w:rsidP="00A00A4E">
            <w:pPr>
              <w:pStyle w:val="Acknowledgement"/>
              <w:ind w:left="0" w:firstLine="0"/>
              <w:rPr>
                <w:bCs/>
                <w:lang w:eastAsia="zh-CN"/>
              </w:rPr>
            </w:pPr>
            <w:r w:rsidRPr="00AC26F8">
              <w:rPr>
                <w:bCs/>
                <w:lang w:eastAsia="zh-CN"/>
              </w:rPr>
              <w:t xml:space="preserve">SRA study </w:t>
            </w:r>
            <w:r w:rsidR="009E5567" w:rsidRPr="00AC26F8">
              <w:rPr>
                <w:bCs/>
                <w:lang w:eastAsia="zh-CN"/>
              </w:rPr>
              <w:t>SRP057027</w:t>
            </w:r>
          </w:p>
        </w:tc>
      </w:tr>
      <w:tr w:rsidR="00720F9B" w:rsidRPr="00AC26F8" w14:paraId="06A4AB8F" w14:textId="77777777" w:rsidTr="00135D36">
        <w:tc>
          <w:tcPr>
            <w:tcW w:w="9350" w:type="dxa"/>
            <w:gridSpan w:val="3"/>
          </w:tcPr>
          <w:p w14:paraId="00CE5522" w14:textId="4523B189" w:rsidR="00720F9B" w:rsidRPr="00AC26F8" w:rsidRDefault="00720F9B" w:rsidP="00A00A4E">
            <w:pPr>
              <w:pStyle w:val="Acknowledgement"/>
              <w:ind w:left="0" w:firstLine="0"/>
              <w:rPr>
                <w:b/>
                <w:lang w:eastAsia="zh-CN"/>
              </w:rPr>
            </w:pPr>
            <w:r w:rsidRPr="00AC26F8">
              <w:rPr>
                <w:b/>
                <w:lang w:eastAsia="zh-CN"/>
              </w:rPr>
              <w:t>Databases</w:t>
            </w:r>
          </w:p>
        </w:tc>
      </w:tr>
      <w:tr w:rsidR="00720F9B" w:rsidRPr="00AC26F8" w14:paraId="1F9A485E" w14:textId="77777777" w:rsidTr="00135D36">
        <w:tc>
          <w:tcPr>
            <w:tcW w:w="3055" w:type="dxa"/>
          </w:tcPr>
          <w:p w14:paraId="5A75640F" w14:textId="250400FC" w:rsidR="00720F9B" w:rsidRPr="00AC26F8" w:rsidRDefault="00720F9B" w:rsidP="00A00A4E">
            <w:pPr>
              <w:pStyle w:val="Acknowledgement"/>
              <w:ind w:left="0" w:firstLine="0"/>
              <w:rPr>
                <w:bCs/>
                <w:lang w:eastAsia="zh-CN"/>
              </w:rPr>
            </w:pPr>
            <w:r w:rsidRPr="00AC26F8">
              <w:rPr>
                <w:bCs/>
                <w:lang w:eastAsia="zh-CN"/>
              </w:rPr>
              <w:t>SILVA v138</w:t>
            </w:r>
          </w:p>
        </w:tc>
        <w:tc>
          <w:tcPr>
            <w:tcW w:w="3510" w:type="dxa"/>
          </w:tcPr>
          <w:p w14:paraId="648C8710" w14:textId="7ECE782F" w:rsidR="00720F9B"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rPr>
                <w:bCs/>
                <w:lang w:eastAsia="zh-CN"/>
              </w:rPr>
              <w:fldChar w:fldCharType="separate"/>
            </w:r>
            <w:r w:rsidR="00D42550" w:rsidRPr="00AC26F8">
              <w:rPr>
                <w:bCs/>
                <w:lang w:eastAsia="zh-CN"/>
              </w:rPr>
              <w:t>Quast et al., 2013</w:t>
            </w:r>
            <w:r w:rsidRPr="00AC26F8">
              <w:rPr>
                <w:bCs/>
                <w:lang w:eastAsia="zh-CN"/>
              </w:rPr>
              <w:fldChar w:fldCharType="end"/>
            </w:r>
          </w:p>
        </w:tc>
        <w:tc>
          <w:tcPr>
            <w:tcW w:w="2785" w:type="dxa"/>
          </w:tcPr>
          <w:p w14:paraId="7E265510" w14:textId="79A34566" w:rsidR="00720F9B" w:rsidRPr="00AC26F8" w:rsidRDefault="00720F9B" w:rsidP="00A00A4E">
            <w:pPr>
              <w:pStyle w:val="Acknowledgement"/>
              <w:ind w:left="0" w:firstLine="0"/>
              <w:rPr>
                <w:bCs/>
                <w:lang w:eastAsia="zh-CN"/>
              </w:rPr>
            </w:pPr>
            <w:r w:rsidRPr="00AC26F8">
              <w:rPr>
                <w:bCs/>
                <w:lang w:eastAsia="zh-CN"/>
              </w:rPr>
              <w:t>www.arb-silva.de</w:t>
            </w:r>
          </w:p>
        </w:tc>
      </w:tr>
      <w:tr w:rsidR="00356410" w:rsidRPr="00AC26F8" w14:paraId="3E4C637B" w14:textId="77777777" w:rsidTr="00135D36">
        <w:tc>
          <w:tcPr>
            <w:tcW w:w="3055" w:type="dxa"/>
          </w:tcPr>
          <w:p w14:paraId="131C3D8A" w14:textId="7BAD3E40" w:rsidR="00356410" w:rsidRPr="00AC26F8" w:rsidRDefault="00356410" w:rsidP="00A00A4E">
            <w:pPr>
              <w:pStyle w:val="Acknowledgement"/>
              <w:ind w:left="0" w:firstLine="0"/>
              <w:rPr>
                <w:bCs/>
                <w:lang w:eastAsia="zh-CN"/>
              </w:rPr>
            </w:pPr>
            <w:r w:rsidRPr="00AC26F8">
              <w:rPr>
                <w:bCs/>
                <w:lang w:eastAsia="zh-CN"/>
              </w:rPr>
              <w:t>MicrobiomeHD</w:t>
            </w:r>
          </w:p>
        </w:tc>
        <w:tc>
          <w:tcPr>
            <w:tcW w:w="3510" w:type="dxa"/>
          </w:tcPr>
          <w:p w14:paraId="3D71866A" w14:textId="7222E79F" w:rsidR="00356410" w:rsidRPr="00AC26F8" w:rsidRDefault="00356410"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F1000_CSL_CITATION&lt;~#@#~&gt;[{"DOI":"10.1038/s41467-017-01973-8","First":false,"Last":false,"PMCID":"PMC5716994","PMID":"29209090","abstract":"Hundreds of clinical studies have demonstrated associations between the human microbiome and disease, yet fundamental questions remain on how we can generalize this knowledge. Results from individual studies can be inconsistent, and comparing published data is further complicated by a lack of standard processing and analysis methods. Here we introduce the MicrobiomeHD database, which includes 28 published case-control gut microbiome studies spanning ten diseases. We perform a cross-disease meta-analysis of these studies using standardized methods. We find consistent patterns characterizing disease-associated microbiome changes. Some diseases are associated with over 50 genera, while most show only 10-15 genus-level changes. Some diseases are marked by the presence of potentially pathogenic microbes, whereas others are characterized by a depletion of health-associated bacteria. Furthermore, we show that about half of genera associated with individual studies are bacteria that respond to more than one disease. Thus, many associations found in case-control studies are likely not disease-specific but rather part of a non-specific, shared response to health and disease.","author":[{"family":"Duvallet","given":"Claire"},{"family":"Gibbons","given":"Sean M"},{"family":"Gurry","given":"Thomas"},{"family":"Irizarry","given":"Rafael A"},{"family":"Alm","given":"Eric J"}],"authorYearDisplayFormat":false,"citation-label":"4567141","container-title":"Nature Communications","container-title-short":"Nat. Commun.","id":"4567141","invisible":false,"issue":"1","issued":{"date-parts":[["2017","12","5"]]},"journalAbbreviation":"Nat. Commun.","page":"1784","suppress-author":false,"title":"Meta-analysis of gut microbiome studies identifies disease-specific and shared responses.","type":"article-journal","volume":"8"}]</w:instrText>
            </w:r>
            <w:r w:rsidRPr="00AC26F8">
              <w:rPr>
                <w:bCs/>
                <w:lang w:eastAsia="zh-CN"/>
              </w:rPr>
              <w:fldChar w:fldCharType="separate"/>
            </w:r>
            <w:r w:rsidR="00D42550" w:rsidRPr="00AC26F8">
              <w:rPr>
                <w:bCs/>
                <w:lang w:eastAsia="zh-CN"/>
              </w:rPr>
              <w:t>Duvallet et al., 2017</w:t>
            </w:r>
            <w:r w:rsidRPr="00AC26F8">
              <w:rPr>
                <w:bCs/>
                <w:lang w:eastAsia="zh-CN"/>
              </w:rPr>
              <w:fldChar w:fldCharType="end"/>
            </w:r>
          </w:p>
        </w:tc>
        <w:tc>
          <w:tcPr>
            <w:tcW w:w="2785" w:type="dxa"/>
          </w:tcPr>
          <w:p w14:paraId="473E5B96" w14:textId="1441779C" w:rsidR="00356410" w:rsidRPr="00AC26F8" w:rsidRDefault="00F657B3" w:rsidP="00A00A4E">
            <w:pPr>
              <w:rPr>
                <w:bCs/>
              </w:rPr>
            </w:pPr>
            <w:hyperlink r:id="rId15" w:history="1">
              <w:r w:rsidR="00356410" w:rsidRPr="00AC26F8">
                <w:rPr>
                  <w:bCs/>
                </w:rPr>
                <w:t>doi.org/10.5281/zenodo.840333</w:t>
              </w:r>
            </w:hyperlink>
          </w:p>
        </w:tc>
      </w:tr>
      <w:tr w:rsidR="00EA5871" w:rsidRPr="00AC26F8" w14:paraId="1F0B01E5" w14:textId="77777777" w:rsidTr="00135D36">
        <w:tc>
          <w:tcPr>
            <w:tcW w:w="9350" w:type="dxa"/>
            <w:gridSpan w:val="3"/>
          </w:tcPr>
          <w:p w14:paraId="62B3993F" w14:textId="6847FBCA" w:rsidR="00EA5871" w:rsidRPr="00AC26F8" w:rsidRDefault="00EA5871" w:rsidP="00A00A4E">
            <w:pPr>
              <w:pStyle w:val="Acknowledgement"/>
              <w:ind w:left="0" w:firstLine="0"/>
              <w:rPr>
                <w:b/>
                <w:lang w:eastAsia="zh-CN"/>
              </w:rPr>
            </w:pPr>
            <w:r w:rsidRPr="00AC26F8">
              <w:rPr>
                <w:b/>
                <w:lang w:eastAsia="zh-CN"/>
              </w:rPr>
              <w:t>Software</w:t>
            </w:r>
            <w:r w:rsidR="009D529D" w:rsidRPr="00AC26F8">
              <w:rPr>
                <w:b/>
                <w:lang w:eastAsia="zh-CN"/>
              </w:rPr>
              <w:t>s</w:t>
            </w:r>
          </w:p>
        </w:tc>
      </w:tr>
      <w:tr w:rsidR="00EA5871" w:rsidRPr="00AC26F8" w14:paraId="0274F4B6" w14:textId="77777777" w:rsidTr="00135D36">
        <w:tc>
          <w:tcPr>
            <w:tcW w:w="3055" w:type="dxa"/>
          </w:tcPr>
          <w:p w14:paraId="20D7EE18" w14:textId="28C81D61" w:rsidR="00EA5871" w:rsidRPr="00AC26F8" w:rsidRDefault="00E42D57" w:rsidP="00A00A4E">
            <w:pPr>
              <w:rPr>
                <w:bCs/>
              </w:rPr>
            </w:pPr>
            <w:r w:rsidRPr="00AC26F8">
              <w:rPr>
                <w:bCs/>
              </w:rPr>
              <w:t>Python v3</w:t>
            </w:r>
            <w:r w:rsidR="00EB3FE8" w:rsidRPr="00AC26F8">
              <w:rPr>
                <w:bCs/>
              </w:rPr>
              <w:t>.7.9</w:t>
            </w:r>
          </w:p>
        </w:tc>
        <w:tc>
          <w:tcPr>
            <w:tcW w:w="3510" w:type="dxa"/>
          </w:tcPr>
          <w:p w14:paraId="16D5DA79" w14:textId="6151C202" w:rsidR="00EA5871" w:rsidRPr="00AC26F8" w:rsidRDefault="00E42D57" w:rsidP="00A00A4E">
            <w:pPr>
              <w:rPr>
                <w:bCs/>
              </w:rPr>
            </w:pPr>
            <w:r w:rsidRPr="00AC26F8">
              <w:rPr>
                <w:bCs/>
              </w:rPr>
              <w:t>Python</w:t>
            </w:r>
          </w:p>
        </w:tc>
        <w:tc>
          <w:tcPr>
            <w:tcW w:w="2785" w:type="dxa"/>
          </w:tcPr>
          <w:p w14:paraId="252B1FF0" w14:textId="6EBD5000" w:rsidR="00EA5871" w:rsidRPr="00AC26F8" w:rsidRDefault="00E42D57" w:rsidP="00A00A4E">
            <w:pPr>
              <w:rPr>
                <w:bCs/>
              </w:rPr>
            </w:pPr>
            <w:r w:rsidRPr="00AC26F8">
              <w:rPr>
                <w:bCs/>
              </w:rPr>
              <w:t>python.org</w:t>
            </w:r>
          </w:p>
        </w:tc>
      </w:tr>
      <w:tr w:rsidR="00E42D57" w:rsidRPr="00AC26F8" w14:paraId="3AF3A7A6" w14:textId="77777777" w:rsidTr="00135D36">
        <w:tc>
          <w:tcPr>
            <w:tcW w:w="3055" w:type="dxa"/>
          </w:tcPr>
          <w:p w14:paraId="6C6151D0" w14:textId="4A4E4F98" w:rsidR="00E42D57" w:rsidRPr="00AC26F8" w:rsidRDefault="009D529D" w:rsidP="00A00A4E">
            <w:pPr>
              <w:rPr>
                <w:bCs/>
              </w:rPr>
            </w:pPr>
            <w:r w:rsidRPr="00AC26F8">
              <w:rPr>
                <w:bCs/>
              </w:rPr>
              <w:t>Scikit learn v0.24.0</w:t>
            </w:r>
          </w:p>
        </w:tc>
        <w:tc>
          <w:tcPr>
            <w:tcW w:w="3510" w:type="dxa"/>
          </w:tcPr>
          <w:p w14:paraId="6C8C9ADC" w14:textId="69FAA730" w:rsidR="00E42D57" w:rsidRPr="00AC26F8" w:rsidRDefault="00804A2D"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F1000_CSL_CITATION&lt;~#@#~&gt;[{"First":false,"Last":false,"abstract":"Scikit-learn is a Python module integrating a wide range of state-of-the-art machine learning algorithms for medium-scale supervised and unsupervised problems. This package focuses on bringing machine learning to non-specialists using a general-purpose high-level …","author":[{"family":"Pedregosa","given":"F"},{"family":"Varoquaux","given":"G"},{"family":"Gramfort","given":"A"}],"authorYearDisplayFormat":false,"citation-label":"12243599","container-title":"of machine Learning","container-title-short":"of machine Learning","id":"12243599","invisible":false,"issued":{"date-parts":[["2011"]]},"journalAbbreviation":"of machine Learning","suppress-author":false,"title":"Scikit-learn: Machine learning in Python","type":"article-journal"}]</w:instrText>
            </w:r>
            <w:r w:rsidRPr="00AC26F8">
              <w:rPr>
                <w:bCs/>
                <w:lang w:eastAsia="zh-CN"/>
              </w:rPr>
              <w:fldChar w:fldCharType="separate"/>
            </w:r>
            <w:r w:rsidR="00D42550" w:rsidRPr="00AC26F8">
              <w:rPr>
                <w:bCs/>
                <w:lang w:eastAsia="zh-CN"/>
              </w:rPr>
              <w:t>Pedregosa et al., 2011</w:t>
            </w:r>
            <w:r w:rsidRPr="00AC26F8">
              <w:rPr>
                <w:bCs/>
                <w:lang w:eastAsia="zh-CN"/>
              </w:rPr>
              <w:fldChar w:fldCharType="end"/>
            </w:r>
          </w:p>
        </w:tc>
        <w:tc>
          <w:tcPr>
            <w:tcW w:w="2785" w:type="dxa"/>
          </w:tcPr>
          <w:p w14:paraId="691DE554" w14:textId="62F6DB7C" w:rsidR="00E42D57" w:rsidRPr="00AC26F8" w:rsidRDefault="00E42D57" w:rsidP="00A00A4E">
            <w:pPr>
              <w:pStyle w:val="Acknowledgement"/>
              <w:ind w:left="0" w:firstLine="0"/>
              <w:rPr>
                <w:bCs/>
                <w:lang w:eastAsia="zh-CN"/>
              </w:rPr>
            </w:pPr>
            <w:r w:rsidRPr="00AC26F8">
              <w:rPr>
                <w:bCs/>
                <w:lang w:eastAsia="zh-CN"/>
              </w:rPr>
              <w:t>scikit-learn.org</w:t>
            </w:r>
          </w:p>
        </w:tc>
      </w:tr>
      <w:tr w:rsidR="00F61501" w:rsidRPr="00AC26F8" w14:paraId="7B681835" w14:textId="77777777" w:rsidTr="00135D36">
        <w:tc>
          <w:tcPr>
            <w:tcW w:w="3055" w:type="dxa"/>
          </w:tcPr>
          <w:p w14:paraId="5969BB40" w14:textId="227B1AEF" w:rsidR="00F61501" w:rsidRPr="00AC26F8" w:rsidRDefault="00F61501" w:rsidP="00A00A4E">
            <w:pPr>
              <w:rPr>
                <w:bCs/>
              </w:rPr>
            </w:pPr>
            <w:r w:rsidRPr="00AC26F8">
              <w:rPr>
                <w:bCs/>
              </w:rPr>
              <w:t>Non-negative matrix factorization</w:t>
            </w:r>
          </w:p>
        </w:tc>
        <w:tc>
          <w:tcPr>
            <w:tcW w:w="3510" w:type="dxa"/>
          </w:tcPr>
          <w:p w14:paraId="4841590C" w14:textId="4B975FBC" w:rsidR="00F61501" w:rsidRPr="00AC26F8" w:rsidRDefault="00F61501"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F1000_CSL_CITATION&lt;~#@#~&gt;[{"DOI":"10.1038/44565","First":false,"Last":false,"PMID":"10548103","abstract":"Is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sign.","author":[{"family":"Lee","given":"D D"},{"family":"Seung","given":"H S"}],"authorYearDisplayFormat":false,"citation-label":"387370","container-title":"Nature","container-title-short":"Nature","id":"387370","invisible":false,"issue":"6755","issued":{"date-parts":[["1999","10","21"]]},"journalAbbreviation":"Nature","page":"788-791","suppress-author":false,"title":"Learning the parts of objects by non-negative matrix factorization.","type":"article-journal","volume":"401"}]</w:instrText>
            </w:r>
            <w:r w:rsidRPr="00AC26F8">
              <w:rPr>
                <w:bCs/>
                <w:lang w:eastAsia="zh-CN"/>
              </w:rPr>
              <w:fldChar w:fldCharType="separate"/>
            </w:r>
            <w:r w:rsidR="00D42550" w:rsidRPr="00AC26F8">
              <w:rPr>
                <w:bCs/>
                <w:lang w:eastAsia="zh-CN"/>
              </w:rPr>
              <w:t>Lee and Seung, 1999</w:t>
            </w:r>
            <w:r w:rsidRPr="00AC26F8">
              <w:rPr>
                <w:bCs/>
                <w:lang w:eastAsia="zh-CN"/>
              </w:rPr>
              <w:fldChar w:fldCharType="end"/>
            </w:r>
          </w:p>
        </w:tc>
        <w:tc>
          <w:tcPr>
            <w:tcW w:w="2785" w:type="dxa"/>
          </w:tcPr>
          <w:p w14:paraId="0E01F030" w14:textId="56C29710" w:rsidR="00F61501" w:rsidRPr="00AC26F8" w:rsidRDefault="00F61501" w:rsidP="00A00A4E">
            <w:pPr>
              <w:pStyle w:val="Acknowledgement"/>
              <w:ind w:left="0" w:firstLine="0"/>
              <w:rPr>
                <w:bCs/>
                <w:lang w:eastAsia="zh-CN"/>
              </w:rPr>
            </w:pPr>
            <w:r w:rsidRPr="00AC26F8">
              <w:rPr>
                <w:bCs/>
                <w:lang w:eastAsia="zh-CN"/>
              </w:rPr>
              <w:t>scikit-learn.org</w:t>
            </w:r>
          </w:p>
        </w:tc>
      </w:tr>
      <w:tr w:rsidR="00F61501" w:rsidRPr="00AC26F8" w14:paraId="4C3D4634" w14:textId="77777777" w:rsidTr="00135D36">
        <w:tc>
          <w:tcPr>
            <w:tcW w:w="3055" w:type="dxa"/>
          </w:tcPr>
          <w:p w14:paraId="61F1F97F" w14:textId="41792B76" w:rsidR="00F61501" w:rsidRPr="00AC26F8" w:rsidRDefault="00F61501" w:rsidP="00A00A4E">
            <w:pPr>
              <w:rPr>
                <w:bCs/>
              </w:rPr>
            </w:pPr>
            <w:r w:rsidRPr="00AC26F8">
              <w:rPr>
                <w:bCs/>
              </w:rPr>
              <w:t>t-distributed stochastic neighbor embedding</w:t>
            </w:r>
          </w:p>
        </w:tc>
        <w:tc>
          <w:tcPr>
            <w:tcW w:w="3510" w:type="dxa"/>
          </w:tcPr>
          <w:p w14:paraId="1AFD66B7" w14:textId="0BF69419" w:rsidR="00F61501" w:rsidRPr="00AC26F8" w:rsidRDefault="00F61501"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F1000_CSL_CITATION&lt;~#@#~&gt;[{"First":false,"Last":false,"author":[{"family":"van der Maaten","given":"Laurens"},{"family":"Hinton","given":"Geoffrey"}],"authorYearDisplayFormat":false,"citation-label":"11670486","container-title":"Journal of Machine Learning Research","id":"11670486","invisible":false,"issue":"86","issued":{"date-parts":[["2008"]]},"page":"2579-2605","suppress-author":false,"title":"Visualizing Data using t-SNE","type":"article-journal","volume":"9"}]</w:instrText>
            </w:r>
            <w:r w:rsidRPr="00AC26F8">
              <w:rPr>
                <w:bCs/>
                <w:lang w:eastAsia="zh-CN"/>
              </w:rPr>
              <w:fldChar w:fldCharType="separate"/>
            </w:r>
            <w:r w:rsidR="00D42550" w:rsidRPr="00AC26F8">
              <w:rPr>
                <w:bCs/>
                <w:lang w:eastAsia="zh-CN"/>
              </w:rPr>
              <w:t>van der Maaten and Hinton, 2008</w:t>
            </w:r>
            <w:r w:rsidRPr="00AC26F8">
              <w:rPr>
                <w:bCs/>
                <w:lang w:eastAsia="zh-CN"/>
              </w:rPr>
              <w:fldChar w:fldCharType="end"/>
            </w:r>
          </w:p>
        </w:tc>
        <w:tc>
          <w:tcPr>
            <w:tcW w:w="2785" w:type="dxa"/>
          </w:tcPr>
          <w:p w14:paraId="065A2B56" w14:textId="39EB0B9C" w:rsidR="00F61501" w:rsidRPr="00AC26F8" w:rsidRDefault="00F61501" w:rsidP="00A00A4E">
            <w:pPr>
              <w:pStyle w:val="Acknowledgement"/>
              <w:ind w:left="0" w:firstLine="0"/>
              <w:rPr>
                <w:bCs/>
                <w:lang w:eastAsia="zh-CN"/>
              </w:rPr>
            </w:pPr>
            <w:r w:rsidRPr="00AC26F8">
              <w:rPr>
                <w:bCs/>
                <w:lang w:eastAsia="zh-CN"/>
              </w:rPr>
              <w:t>scikit-learn.org</w:t>
            </w:r>
          </w:p>
        </w:tc>
      </w:tr>
      <w:tr w:rsidR="00F61501" w:rsidRPr="00AC26F8" w14:paraId="65EB873D" w14:textId="77777777" w:rsidTr="00135D36">
        <w:tc>
          <w:tcPr>
            <w:tcW w:w="3055" w:type="dxa"/>
          </w:tcPr>
          <w:p w14:paraId="787FA8DF" w14:textId="58E2B5EB" w:rsidR="00F61501" w:rsidRPr="00AC26F8" w:rsidRDefault="00F61501" w:rsidP="00A00A4E">
            <w:pPr>
              <w:rPr>
                <w:bCs/>
              </w:rPr>
            </w:pPr>
            <w:r w:rsidRPr="00AC26F8">
              <w:rPr>
                <w:bCs/>
              </w:rPr>
              <w:t>Random Forest classifi</w:t>
            </w:r>
            <w:r w:rsidR="00984FD1" w:rsidRPr="00AC26F8">
              <w:rPr>
                <w:bCs/>
              </w:rPr>
              <w:t>er</w:t>
            </w:r>
          </w:p>
        </w:tc>
        <w:tc>
          <w:tcPr>
            <w:tcW w:w="3510" w:type="dxa"/>
          </w:tcPr>
          <w:p w14:paraId="547E7250" w14:textId="7DA2B532" w:rsidR="00F61501" w:rsidRPr="00AC26F8" w:rsidRDefault="00F61501"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F1000_CSL_CITATION&lt;~#@#~&gt;[{"First":false,"Last":false,"abstract":"Decision trees are attractive classifiers due to their high execution speed. But trees derived with traditional methods often cannot be grown to arbitrary complexity for possible loss of generalization accuracy on unseen data. The limitation on complexity usually means …","author":[{"family":"Ho","given":"T K"}],"authorYearDisplayFormat":false,"citation-label":"12243591","container-title":"Proceedings of 3rd international conference on","container-title-short":"Proceedings of 3rd international conference on","id":"12243591","invisible":false,"issued":{"date-parts":[["1995"]]},"journalAbbreviation":"Proceedings of 3rd international conference on","suppress-author":false,"title":"Random decision forests","type":"article-journal"}]</w:instrText>
            </w:r>
            <w:r w:rsidRPr="00AC26F8">
              <w:rPr>
                <w:bCs/>
                <w:lang w:eastAsia="zh-CN"/>
              </w:rPr>
              <w:fldChar w:fldCharType="separate"/>
            </w:r>
            <w:r w:rsidR="00D42550" w:rsidRPr="00AC26F8">
              <w:rPr>
                <w:bCs/>
                <w:lang w:eastAsia="zh-CN"/>
              </w:rPr>
              <w:t>Ho, 1995</w:t>
            </w:r>
            <w:r w:rsidRPr="00AC26F8">
              <w:rPr>
                <w:bCs/>
                <w:lang w:eastAsia="zh-CN"/>
              </w:rPr>
              <w:fldChar w:fldCharType="end"/>
            </w:r>
          </w:p>
        </w:tc>
        <w:tc>
          <w:tcPr>
            <w:tcW w:w="2785" w:type="dxa"/>
          </w:tcPr>
          <w:p w14:paraId="11F45848" w14:textId="09292B21" w:rsidR="00F61501" w:rsidRPr="00AC26F8" w:rsidRDefault="00F61501" w:rsidP="00A00A4E">
            <w:pPr>
              <w:pStyle w:val="Acknowledgement"/>
              <w:ind w:left="0" w:firstLine="0"/>
              <w:rPr>
                <w:bCs/>
                <w:lang w:eastAsia="zh-CN"/>
              </w:rPr>
            </w:pPr>
            <w:r w:rsidRPr="00AC26F8">
              <w:rPr>
                <w:bCs/>
                <w:lang w:eastAsia="zh-CN"/>
              </w:rPr>
              <w:t>scikit-learn.org</w:t>
            </w:r>
          </w:p>
        </w:tc>
      </w:tr>
      <w:tr w:rsidR="001C70AB" w:rsidRPr="00AC26F8" w14:paraId="3BD54F0C" w14:textId="77777777" w:rsidTr="00135D36">
        <w:tc>
          <w:tcPr>
            <w:tcW w:w="3055" w:type="dxa"/>
          </w:tcPr>
          <w:p w14:paraId="7AA8E549" w14:textId="61D0AAEB" w:rsidR="001C70AB" w:rsidRPr="00AC26F8" w:rsidRDefault="001C70AB" w:rsidP="00A00A4E">
            <w:pPr>
              <w:rPr>
                <w:bCs/>
              </w:rPr>
            </w:pPr>
            <w:r w:rsidRPr="00AC26F8">
              <w:rPr>
                <w:bCs/>
              </w:rPr>
              <w:lastRenderedPageBreak/>
              <w:t>Lifelines v0.2</w:t>
            </w:r>
            <w:r w:rsidR="00EB3FE8" w:rsidRPr="00AC26F8">
              <w:rPr>
                <w:bCs/>
              </w:rPr>
              <w:t>5</w:t>
            </w:r>
            <w:r w:rsidRPr="00AC26F8">
              <w:rPr>
                <w:bCs/>
              </w:rPr>
              <w:t>.</w:t>
            </w:r>
            <w:r w:rsidR="00EB3FE8" w:rsidRPr="00AC26F8">
              <w:rPr>
                <w:bCs/>
              </w:rPr>
              <w:t>6</w:t>
            </w:r>
          </w:p>
        </w:tc>
        <w:tc>
          <w:tcPr>
            <w:tcW w:w="3510" w:type="dxa"/>
          </w:tcPr>
          <w:p w14:paraId="3C712924" w14:textId="0D9595EF" w:rsidR="001C70AB" w:rsidRPr="00AC26F8" w:rsidRDefault="00013878" w:rsidP="00A00A4E">
            <w:pPr>
              <w:rPr>
                <w:bCs/>
              </w:rPr>
            </w:pPr>
            <w:r w:rsidRPr="00AC26F8">
              <w:rPr>
                <w:bCs/>
              </w:rPr>
              <w:fldChar w:fldCharType="begin"/>
            </w:r>
            <w:r w:rsidR="00D42550"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Pr="00AC26F8">
              <w:rPr>
                <w:bCs/>
              </w:rPr>
              <w:fldChar w:fldCharType="separate"/>
            </w:r>
            <w:r w:rsidR="00673254" w:rsidRPr="00AC26F8">
              <w:rPr>
                <w:noProof/>
              </w:rPr>
              <w:t>Davidson-Pilon, 2019</w:t>
            </w:r>
            <w:r w:rsidR="00673254" w:rsidRPr="00AC26F8">
              <w:rPr>
                <w:bCs/>
              </w:rPr>
              <w:t xml:space="preserve"> </w:t>
            </w:r>
            <w:r w:rsidRPr="00AC26F8">
              <w:rPr>
                <w:bCs/>
              </w:rPr>
              <w:fldChar w:fldCharType="end"/>
            </w:r>
          </w:p>
        </w:tc>
        <w:tc>
          <w:tcPr>
            <w:tcW w:w="2785" w:type="dxa"/>
          </w:tcPr>
          <w:p w14:paraId="5C441B39" w14:textId="3D6D58EA" w:rsidR="001C70AB" w:rsidRPr="00AC26F8" w:rsidRDefault="001C70AB" w:rsidP="00A00A4E">
            <w:pPr>
              <w:rPr>
                <w:bCs/>
              </w:rPr>
            </w:pPr>
            <w:r w:rsidRPr="00AC26F8">
              <w:rPr>
                <w:bCs/>
              </w:rPr>
              <w:t>github.com/CamDavidsonPilon/lifelines</w:t>
            </w:r>
          </w:p>
        </w:tc>
      </w:tr>
      <w:tr w:rsidR="001C70AB" w:rsidRPr="00AC26F8" w14:paraId="417BBD32" w14:textId="77777777" w:rsidTr="00135D36">
        <w:tc>
          <w:tcPr>
            <w:tcW w:w="3055" w:type="dxa"/>
          </w:tcPr>
          <w:p w14:paraId="0E483E70" w14:textId="71A4ED7F" w:rsidR="001C70AB" w:rsidRPr="00AC26F8" w:rsidRDefault="00511986" w:rsidP="00A00A4E">
            <w:pPr>
              <w:rPr>
                <w:bCs/>
              </w:rPr>
            </w:pPr>
            <w:r w:rsidRPr="00AC26F8">
              <w:rPr>
                <w:bCs/>
              </w:rPr>
              <w:t>SourceTracker2</w:t>
            </w:r>
          </w:p>
        </w:tc>
        <w:tc>
          <w:tcPr>
            <w:tcW w:w="3510" w:type="dxa"/>
          </w:tcPr>
          <w:p w14:paraId="0490029E" w14:textId="48EFE9EF" w:rsidR="001C70AB" w:rsidRPr="00AC26F8" w:rsidRDefault="00013878"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rPr>
                <w:bCs/>
                <w:lang w:eastAsia="zh-CN"/>
              </w:rPr>
              <w:fldChar w:fldCharType="separate"/>
            </w:r>
            <w:r w:rsidR="00D42550" w:rsidRPr="00AC26F8">
              <w:rPr>
                <w:bCs/>
                <w:lang w:eastAsia="zh-CN"/>
              </w:rPr>
              <w:t>Knights et al., 2011</w:t>
            </w:r>
            <w:r w:rsidRPr="00AC26F8">
              <w:rPr>
                <w:bCs/>
                <w:lang w:eastAsia="zh-CN"/>
              </w:rPr>
              <w:fldChar w:fldCharType="end"/>
            </w:r>
          </w:p>
        </w:tc>
        <w:tc>
          <w:tcPr>
            <w:tcW w:w="2785" w:type="dxa"/>
          </w:tcPr>
          <w:p w14:paraId="23C11628" w14:textId="0D9A57DE" w:rsidR="001C70AB" w:rsidRPr="00AC26F8" w:rsidRDefault="00511986" w:rsidP="00A00A4E">
            <w:pPr>
              <w:pStyle w:val="Acknowledgement"/>
              <w:ind w:left="0" w:firstLine="0"/>
              <w:rPr>
                <w:bCs/>
                <w:lang w:eastAsia="zh-CN"/>
              </w:rPr>
            </w:pPr>
            <w:r w:rsidRPr="00AC26F8">
              <w:rPr>
                <w:bCs/>
                <w:lang w:eastAsia="zh-CN"/>
              </w:rPr>
              <w:t>github.com/biota/sourcetracker2</w:t>
            </w:r>
          </w:p>
        </w:tc>
      </w:tr>
      <w:tr w:rsidR="00511986" w:rsidRPr="00AC26F8" w14:paraId="61235B4C" w14:textId="77777777" w:rsidTr="00135D36">
        <w:tc>
          <w:tcPr>
            <w:tcW w:w="3055" w:type="dxa"/>
          </w:tcPr>
          <w:p w14:paraId="00802D9E" w14:textId="5DF02EC5" w:rsidR="00511986" w:rsidRPr="00AC26F8" w:rsidRDefault="00511986" w:rsidP="00A00A4E">
            <w:pPr>
              <w:rPr>
                <w:bCs/>
              </w:rPr>
            </w:pPr>
            <w:r w:rsidRPr="00AC26F8">
              <w:rPr>
                <w:bCs/>
              </w:rPr>
              <w:t>iRep</w:t>
            </w:r>
          </w:p>
        </w:tc>
        <w:tc>
          <w:tcPr>
            <w:tcW w:w="3510" w:type="dxa"/>
          </w:tcPr>
          <w:p w14:paraId="5062AABD" w14:textId="6F2B21A9" w:rsidR="00511986" w:rsidRPr="00AC26F8" w:rsidRDefault="00013878"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rPr>
                <w:bCs/>
                <w:lang w:eastAsia="zh-CN"/>
              </w:rPr>
              <w:fldChar w:fldCharType="separate"/>
            </w:r>
            <w:r w:rsidR="00D42550" w:rsidRPr="00AC26F8">
              <w:rPr>
                <w:bCs/>
                <w:lang w:eastAsia="zh-CN"/>
              </w:rPr>
              <w:t>Brown et al., 2016</w:t>
            </w:r>
            <w:r w:rsidRPr="00AC26F8">
              <w:rPr>
                <w:bCs/>
                <w:lang w:eastAsia="zh-CN"/>
              </w:rPr>
              <w:fldChar w:fldCharType="end"/>
            </w:r>
          </w:p>
        </w:tc>
        <w:tc>
          <w:tcPr>
            <w:tcW w:w="2785" w:type="dxa"/>
          </w:tcPr>
          <w:p w14:paraId="743CF22B" w14:textId="1400B23B" w:rsidR="00511986" w:rsidRPr="00AC26F8" w:rsidRDefault="00511986" w:rsidP="00A00A4E">
            <w:pPr>
              <w:pStyle w:val="Acknowledgement"/>
              <w:ind w:left="0" w:firstLine="0"/>
              <w:rPr>
                <w:bCs/>
                <w:lang w:eastAsia="zh-CN"/>
              </w:rPr>
            </w:pPr>
            <w:r w:rsidRPr="00AC26F8">
              <w:rPr>
                <w:bCs/>
                <w:lang w:eastAsia="zh-CN"/>
              </w:rPr>
              <w:t>github.com/christophertbrown/iRep</w:t>
            </w:r>
          </w:p>
        </w:tc>
      </w:tr>
      <w:tr w:rsidR="00EB3FE8" w:rsidRPr="00AC26F8" w14:paraId="5F06B169" w14:textId="77777777" w:rsidTr="00135D36">
        <w:tc>
          <w:tcPr>
            <w:tcW w:w="3055" w:type="dxa"/>
          </w:tcPr>
          <w:p w14:paraId="04323054" w14:textId="73C556AD" w:rsidR="00EB3FE8" w:rsidRPr="00AC26F8" w:rsidRDefault="00EB3FE8" w:rsidP="00A00A4E">
            <w:pPr>
              <w:rPr>
                <w:bCs/>
              </w:rPr>
            </w:pPr>
            <w:r w:rsidRPr="00AC26F8">
              <w:rPr>
                <w:bCs/>
              </w:rPr>
              <w:t>Cutadapt</w:t>
            </w:r>
            <w:r w:rsidR="00302D97" w:rsidRPr="00AC26F8">
              <w:rPr>
                <w:bCs/>
              </w:rPr>
              <w:t xml:space="preserve"> v3.4</w:t>
            </w:r>
          </w:p>
        </w:tc>
        <w:tc>
          <w:tcPr>
            <w:tcW w:w="3510" w:type="dxa"/>
          </w:tcPr>
          <w:p w14:paraId="1474B9EB" w14:textId="65BBC4D9" w:rsidR="00EB3FE8" w:rsidRPr="00AC26F8" w:rsidRDefault="00013878"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Pr="00AC26F8">
              <w:rPr>
                <w:bCs/>
                <w:lang w:eastAsia="zh-CN"/>
              </w:rPr>
              <w:fldChar w:fldCharType="separate"/>
            </w:r>
            <w:r w:rsidR="00D42550" w:rsidRPr="00AC26F8">
              <w:rPr>
                <w:bCs/>
                <w:lang w:eastAsia="zh-CN"/>
              </w:rPr>
              <w:t>Martin, 2011</w:t>
            </w:r>
            <w:r w:rsidRPr="00AC26F8">
              <w:rPr>
                <w:bCs/>
                <w:lang w:eastAsia="zh-CN"/>
              </w:rPr>
              <w:fldChar w:fldCharType="end"/>
            </w:r>
          </w:p>
        </w:tc>
        <w:tc>
          <w:tcPr>
            <w:tcW w:w="2785" w:type="dxa"/>
          </w:tcPr>
          <w:p w14:paraId="5D0D3713" w14:textId="4652F767" w:rsidR="00EB3FE8" w:rsidRPr="00AC26F8" w:rsidRDefault="00302D97" w:rsidP="00A00A4E">
            <w:pPr>
              <w:pStyle w:val="Acknowledgement"/>
              <w:ind w:left="0" w:firstLine="0"/>
              <w:rPr>
                <w:bCs/>
                <w:lang w:eastAsia="zh-CN"/>
              </w:rPr>
            </w:pPr>
            <w:r w:rsidRPr="00AC26F8">
              <w:rPr>
                <w:bCs/>
                <w:lang w:eastAsia="zh-CN"/>
              </w:rPr>
              <w:t>github.com/marcelm/cutadapt</w:t>
            </w:r>
          </w:p>
        </w:tc>
      </w:tr>
      <w:tr w:rsidR="00984FD1" w:rsidRPr="00AC26F8" w14:paraId="35323D12" w14:textId="77777777" w:rsidTr="00135D36">
        <w:tc>
          <w:tcPr>
            <w:tcW w:w="3055" w:type="dxa"/>
          </w:tcPr>
          <w:p w14:paraId="3EB8F2E3" w14:textId="0F3C2FF5" w:rsidR="00984FD1" w:rsidRPr="00AC26F8" w:rsidRDefault="00984FD1" w:rsidP="00A00A4E">
            <w:pPr>
              <w:rPr>
                <w:bCs/>
              </w:rPr>
            </w:pPr>
            <w:r w:rsidRPr="00AC26F8">
              <w:t xml:space="preserve">Naive Bayesian classifier </w:t>
            </w:r>
          </w:p>
        </w:tc>
        <w:tc>
          <w:tcPr>
            <w:tcW w:w="3510" w:type="dxa"/>
          </w:tcPr>
          <w:p w14:paraId="584AC648" w14:textId="543361F5" w:rsidR="00984FD1" w:rsidRPr="00AC26F8" w:rsidRDefault="00984FD1" w:rsidP="00A00A4E">
            <w:pPr>
              <w:pStyle w:val="Acknowledgement"/>
              <w:ind w:left="0" w:firstLine="0"/>
              <w:rPr>
                <w:bCs/>
                <w:lang w:eastAsia="zh-CN"/>
              </w:rPr>
            </w:pPr>
            <w:r w:rsidRPr="00AC26F8">
              <w:fldChar w:fldCharType="begin"/>
            </w:r>
            <w:r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Pr="00AC26F8">
              <w:t>Wang et al., 2007</w:t>
            </w:r>
            <w:r w:rsidRPr="00AC26F8">
              <w:fldChar w:fldCharType="end"/>
            </w:r>
          </w:p>
        </w:tc>
        <w:tc>
          <w:tcPr>
            <w:tcW w:w="2785" w:type="dxa"/>
          </w:tcPr>
          <w:p w14:paraId="47A58D80" w14:textId="0DEE3E77" w:rsidR="00984FD1" w:rsidRPr="00AC26F8" w:rsidRDefault="00984FD1" w:rsidP="00A00A4E">
            <w:pPr>
              <w:pStyle w:val="Acknowledgement"/>
              <w:ind w:left="0" w:firstLine="0"/>
              <w:rPr>
                <w:bCs/>
                <w:lang w:eastAsia="zh-CN"/>
              </w:rPr>
            </w:pPr>
            <w:r w:rsidRPr="00AC26F8">
              <w:rPr>
                <w:bCs/>
                <w:lang w:eastAsia="zh-CN"/>
              </w:rPr>
              <w:t>rdp.cme.msu.edu</w:t>
            </w:r>
          </w:p>
        </w:tc>
      </w:tr>
      <w:tr w:rsidR="008E5542" w:rsidRPr="00AC26F8" w14:paraId="161E0419" w14:textId="77777777" w:rsidTr="00135D36">
        <w:tc>
          <w:tcPr>
            <w:tcW w:w="3055" w:type="dxa"/>
          </w:tcPr>
          <w:p w14:paraId="36DF067D" w14:textId="5F86963F" w:rsidR="008E5542" w:rsidRPr="00AC26F8" w:rsidRDefault="008E5542" w:rsidP="00A00A4E">
            <w:pPr>
              <w:rPr>
                <w:bCs/>
              </w:rPr>
            </w:pPr>
            <w:r w:rsidRPr="00AC26F8">
              <w:rPr>
                <w:bCs/>
              </w:rPr>
              <w:t>DADA2</w:t>
            </w:r>
          </w:p>
        </w:tc>
        <w:tc>
          <w:tcPr>
            <w:tcW w:w="3510" w:type="dxa"/>
          </w:tcPr>
          <w:p w14:paraId="2508AA9A" w14:textId="780C04B9" w:rsidR="008E5542" w:rsidRPr="00AC26F8" w:rsidRDefault="00013878" w:rsidP="00A00A4E">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rPr>
                <w:bCs/>
                <w:lang w:eastAsia="zh-CN"/>
              </w:rPr>
              <w:fldChar w:fldCharType="separate"/>
            </w:r>
            <w:r w:rsidR="00D42550" w:rsidRPr="00AC26F8">
              <w:rPr>
                <w:bCs/>
                <w:lang w:eastAsia="zh-CN"/>
              </w:rPr>
              <w:t>Callahan et al., 2016</w:t>
            </w:r>
            <w:r w:rsidRPr="00AC26F8">
              <w:rPr>
                <w:bCs/>
                <w:lang w:eastAsia="zh-CN"/>
              </w:rPr>
              <w:fldChar w:fldCharType="end"/>
            </w:r>
          </w:p>
        </w:tc>
        <w:tc>
          <w:tcPr>
            <w:tcW w:w="2785" w:type="dxa"/>
          </w:tcPr>
          <w:p w14:paraId="58858A78" w14:textId="7AE4456C" w:rsidR="008E5542" w:rsidRPr="00AC26F8" w:rsidRDefault="008E5542" w:rsidP="00A00A4E">
            <w:pPr>
              <w:pStyle w:val="Acknowledgement"/>
              <w:ind w:left="0" w:firstLine="0"/>
              <w:rPr>
                <w:bCs/>
                <w:lang w:eastAsia="zh-CN"/>
              </w:rPr>
            </w:pPr>
            <w:r w:rsidRPr="00AC26F8">
              <w:rPr>
                <w:bCs/>
                <w:lang w:eastAsia="zh-CN"/>
              </w:rPr>
              <w:t>benjjneb.github.io/data2</w:t>
            </w:r>
          </w:p>
        </w:tc>
      </w:tr>
      <w:tr w:rsidR="00EB3FE8" w:rsidRPr="00AC26F8" w14:paraId="5C244E40" w14:textId="77777777" w:rsidTr="00135D36">
        <w:tc>
          <w:tcPr>
            <w:tcW w:w="3055" w:type="dxa"/>
          </w:tcPr>
          <w:p w14:paraId="513CF0CD" w14:textId="24B554C7" w:rsidR="00EB3FE8" w:rsidRPr="00AC26F8" w:rsidRDefault="00EB3FE8" w:rsidP="00A00A4E">
            <w:pPr>
              <w:rPr>
                <w:bCs/>
              </w:rPr>
            </w:pPr>
            <w:r w:rsidRPr="00AC26F8">
              <w:rPr>
                <w:bCs/>
              </w:rPr>
              <w:t xml:space="preserve">Bhatt </w:t>
            </w:r>
            <w:r w:rsidR="00013878" w:rsidRPr="00AC26F8">
              <w:rPr>
                <w:bCs/>
              </w:rPr>
              <w:t xml:space="preserve">lab </w:t>
            </w:r>
            <w:r w:rsidRPr="00AC26F8">
              <w:rPr>
                <w:bCs/>
              </w:rPr>
              <w:t>workflow</w:t>
            </w:r>
          </w:p>
        </w:tc>
        <w:tc>
          <w:tcPr>
            <w:tcW w:w="3510" w:type="dxa"/>
          </w:tcPr>
          <w:p w14:paraId="29EEC769" w14:textId="2D1C6276" w:rsidR="00EB3FE8" w:rsidRPr="00AC26F8" w:rsidRDefault="004B48FC" w:rsidP="00A00A4E">
            <w:pPr>
              <w:pStyle w:val="Acknowledgement"/>
              <w:ind w:left="0" w:firstLine="0"/>
              <w:rPr>
                <w:bCs/>
                <w:lang w:eastAsia="zh-CN"/>
              </w:rPr>
            </w:pPr>
            <w:r w:rsidRPr="00AC26F8">
              <w:t>Siranosian et al., 2021</w:t>
            </w:r>
          </w:p>
        </w:tc>
        <w:tc>
          <w:tcPr>
            <w:tcW w:w="2785" w:type="dxa"/>
          </w:tcPr>
          <w:p w14:paraId="4864BFF1" w14:textId="7198727A" w:rsidR="00EB3FE8" w:rsidRPr="00AC26F8" w:rsidRDefault="00013878" w:rsidP="00A00A4E">
            <w:pPr>
              <w:rPr>
                <w:bCs/>
              </w:rPr>
            </w:pPr>
            <w:r w:rsidRPr="00AC26F8">
              <w:rPr>
                <w:bCs/>
              </w:rPr>
              <w:t>github.com/bhattlab/bhattlab_workflows</w:t>
            </w:r>
          </w:p>
        </w:tc>
      </w:tr>
      <w:tr w:rsidR="004B48FC" w:rsidRPr="00AC26F8" w14:paraId="76091439" w14:textId="77777777" w:rsidTr="00135D36">
        <w:tc>
          <w:tcPr>
            <w:tcW w:w="3055" w:type="dxa"/>
          </w:tcPr>
          <w:p w14:paraId="72F4BD0B" w14:textId="65E08FEE" w:rsidR="004B48FC" w:rsidRPr="00AC26F8" w:rsidRDefault="004B48FC" w:rsidP="00A00A4E">
            <w:pPr>
              <w:rPr>
                <w:bCs/>
              </w:rPr>
            </w:pPr>
            <w:r w:rsidRPr="00AC26F8">
              <w:t>MEGAHIT</w:t>
            </w:r>
          </w:p>
        </w:tc>
        <w:tc>
          <w:tcPr>
            <w:tcW w:w="3510" w:type="dxa"/>
          </w:tcPr>
          <w:p w14:paraId="320553B2" w14:textId="41906C60" w:rsidR="004B48FC" w:rsidRPr="00AC26F8" w:rsidRDefault="00276D57" w:rsidP="00A00A4E">
            <w:pPr>
              <w:pStyle w:val="Acknowledgement"/>
              <w:ind w:left="0" w:firstLine="0"/>
              <w:rPr>
                <w:bCs/>
                <w:lang w:eastAsia="zh-CN"/>
              </w:rPr>
            </w:pPr>
            <w:r w:rsidRPr="00AC26F8">
              <w:t>Li et al., 2015</w:t>
            </w:r>
          </w:p>
        </w:tc>
        <w:tc>
          <w:tcPr>
            <w:tcW w:w="2785" w:type="dxa"/>
          </w:tcPr>
          <w:p w14:paraId="1168A185" w14:textId="63635A82" w:rsidR="004B48FC" w:rsidRPr="00AC26F8" w:rsidRDefault="00276D57" w:rsidP="00A00A4E">
            <w:pPr>
              <w:rPr>
                <w:bCs/>
              </w:rPr>
            </w:pPr>
            <w:r w:rsidRPr="00AC26F8">
              <w:rPr>
                <w:bCs/>
              </w:rPr>
              <w:t>github.com/voutcn/megahit</w:t>
            </w:r>
          </w:p>
        </w:tc>
      </w:tr>
      <w:tr w:rsidR="00276D57" w:rsidRPr="00AC26F8" w14:paraId="28265EAA" w14:textId="77777777" w:rsidTr="00135D36">
        <w:tc>
          <w:tcPr>
            <w:tcW w:w="3055" w:type="dxa"/>
          </w:tcPr>
          <w:p w14:paraId="109EF129" w14:textId="41C3189A" w:rsidR="00276D57" w:rsidRPr="00AC26F8" w:rsidRDefault="00276D57" w:rsidP="00A00A4E">
            <w:r w:rsidRPr="00AC26F8">
              <w:t>Meta</w:t>
            </w:r>
            <w:r w:rsidR="002B7475" w:rsidRPr="00AC26F8">
              <w:t xml:space="preserve">BAT </w:t>
            </w:r>
            <w:r w:rsidRPr="00AC26F8">
              <w:t>2</w:t>
            </w:r>
          </w:p>
        </w:tc>
        <w:tc>
          <w:tcPr>
            <w:tcW w:w="3510" w:type="dxa"/>
          </w:tcPr>
          <w:p w14:paraId="3C967BD9" w14:textId="58664382" w:rsidR="00276D57" w:rsidRPr="00AC26F8" w:rsidRDefault="00276D57" w:rsidP="00A00A4E">
            <w:pPr>
              <w:pStyle w:val="Acknowledgement"/>
              <w:ind w:left="0" w:firstLine="0"/>
            </w:pPr>
            <w:r w:rsidRPr="00AC26F8">
              <w:t>Kang et al., 2019</w:t>
            </w:r>
          </w:p>
        </w:tc>
        <w:tc>
          <w:tcPr>
            <w:tcW w:w="2785" w:type="dxa"/>
          </w:tcPr>
          <w:p w14:paraId="741A1862" w14:textId="35B107ED" w:rsidR="00276D57" w:rsidRPr="00AC26F8" w:rsidRDefault="002B7475" w:rsidP="00A00A4E">
            <w:pPr>
              <w:rPr>
                <w:bCs/>
              </w:rPr>
            </w:pPr>
            <w:r w:rsidRPr="00AC26F8">
              <w:rPr>
                <w:bCs/>
              </w:rPr>
              <w:t>bitbucket.org/berkeleylab/metabat/src/master/</w:t>
            </w:r>
          </w:p>
        </w:tc>
      </w:tr>
      <w:tr w:rsidR="00276D57" w:rsidRPr="00AC26F8" w14:paraId="6209FACF" w14:textId="77777777" w:rsidTr="00135D36">
        <w:tc>
          <w:tcPr>
            <w:tcW w:w="3055" w:type="dxa"/>
          </w:tcPr>
          <w:p w14:paraId="38AEA8AB" w14:textId="572E53C2" w:rsidR="00276D57" w:rsidRPr="00AC26F8" w:rsidRDefault="00276D57" w:rsidP="00A00A4E">
            <w:r w:rsidRPr="00AC26F8">
              <w:t>CONCOCT</w:t>
            </w:r>
          </w:p>
        </w:tc>
        <w:tc>
          <w:tcPr>
            <w:tcW w:w="3510" w:type="dxa"/>
          </w:tcPr>
          <w:p w14:paraId="1F898BB4" w14:textId="29953578" w:rsidR="00276D57" w:rsidRPr="00AC26F8" w:rsidRDefault="00276D57" w:rsidP="00A00A4E">
            <w:pPr>
              <w:pStyle w:val="Acknowledgement"/>
              <w:ind w:left="0" w:firstLine="0"/>
            </w:pPr>
            <w:r w:rsidRPr="00AC26F8">
              <w:fldChar w:fldCharType="begin"/>
            </w:r>
            <w:r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Pr="00AC26F8">
              <w:t>Alneberg et al., 2014</w:t>
            </w:r>
            <w:r w:rsidRPr="00AC26F8">
              <w:fldChar w:fldCharType="end"/>
            </w:r>
          </w:p>
        </w:tc>
        <w:tc>
          <w:tcPr>
            <w:tcW w:w="2785" w:type="dxa"/>
          </w:tcPr>
          <w:p w14:paraId="7AC13B39" w14:textId="2580E56C" w:rsidR="00276D57" w:rsidRPr="00AC26F8" w:rsidRDefault="002B7475" w:rsidP="00A00A4E">
            <w:pPr>
              <w:rPr>
                <w:bCs/>
              </w:rPr>
            </w:pPr>
            <w:r w:rsidRPr="00AC26F8">
              <w:rPr>
                <w:bCs/>
              </w:rPr>
              <w:t>github.com/BinPro/CONCOCT</w:t>
            </w:r>
          </w:p>
        </w:tc>
      </w:tr>
      <w:tr w:rsidR="00ED2A5A" w:rsidRPr="00AC26F8" w14:paraId="4B21E0B0" w14:textId="77777777" w:rsidTr="00135D36">
        <w:tc>
          <w:tcPr>
            <w:tcW w:w="3055" w:type="dxa"/>
          </w:tcPr>
          <w:p w14:paraId="6A1AA491" w14:textId="65FA3290" w:rsidR="00ED2A5A" w:rsidRPr="00AC26F8" w:rsidRDefault="00ED2A5A" w:rsidP="00A00A4E">
            <w:r w:rsidRPr="00AC26F8">
              <w:t>DAS Tool</w:t>
            </w:r>
          </w:p>
        </w:tc>
        <w:tc>
          <w:tcPr>
            <w:tcW w:w="3510" w:type="dxa"/>
          </w:tcPr>
          <w:p w14:paraId="1B284C09" w14:textId="10643289" w:rsidR="00ED2A5A" w:rsidRPr="00AC26F8" w:rsidRDefault="00ED2A5A" w:rsidP="00A00A4E">
            <w:pPr>
              <w:pStyle w:val="Acknowledgement"/>
              <w:ind w:left="0" w:firstLine="0"/>
            </w:pPr>
            <w:r w:rsidRPr="00AC26F8">
              <w:t>Sieber et al., 2018</w:t>
            </w:r>
          </w:p>
        </w:tc>
        <w:tc>
          <w:tcPr>
            <w:tcW w:w="2785" w:type="dxa"/>
          </w:tcPr>
          <w:p w14:paraId="73F9A452" w14:textId="6201BA44" w:rsidR="00ED2A5A" w:rsidRPr="00AC26F8" w:rsidRDefault="00ED2A5A" w:rsidP="00A00A4E">
            <w:pPr>
              <w:rPr>
                <w:bCs/>
              </w:rPr>
            </w:pPr>
            <w:r w:rsidRPr="00AC26F8">
              <w:t>github.com/cmks/DAS_Tool</w:t>
            </w:r>
          </w:p>
        </w:tc>
      </w:tr>
      <w:tr w:rsidR="00A2563A" w:rsidRPr="00AC26F8" w14:paraId="0527155E" w14:textId="77777777" w:rsidTr="00135D36">
        <w:tc>
          <w:tcPr>
            <w:tcW w:w="3055" w:type="dxa"/>
          </w:tcPr>
          <w:p w14:paraId="4A774FE0" w14:textId="110944CB" w:rsidR="00A2563A" w:rsidRPr="00AC26F8" w:rsidRDefault="00A2563A" w:rsidP="00A00A4E">
            <w:pPr>
              <w:rPr>
                <w:bCs/>
              </w:rPr>
            </w:pPr>
            <w:r w:rsidRPr="00AC26F8">
              <w:t>PATRIC</w:t>
            </w:r>
          </w:p>
        </w:tc>
        <w:tc>
          <w:tcPr>
            <w:tcW w:w="3510" w:type="dxa"/>
          </w:tcPr>
          <w:p w14:paraId="5E402FD2" w14:textId="53CA2EE2" w:rsidR="00A2563A" w:rsidRPr="00AC26F8" w:rsidRDefault="00A2563A" w:rsidP="00A00A4E">
            <w:pPr>
              <w:pStyle w:val="Acknowledgement"/>
              <w:ind w:left="0" w:firstLine="0"/>
              <w:rPr>
                <w:bCs/>
                <w:lang w:eastAsia="zh-CN"/>
              </w:rPr>
            </w:pPr>
            <w:r w:rsidRPr="00AC26F8">
              <w:t>Davis et al., 2020</w:t>
            </w:r>
          </w:p>
        </w:tc>
        <w:tc>
          <w:tcPr>
            <w:tcW w:w="2785" w:type="dxa"/>
          </w:tcPr>
          <w:p w14:paraId="5F777742" w14:textId="0D08EB9C" w:rsidR="00A2563A" w:rsidRPr="00AC26F8" w:rsidRDefault="00A2563A" w:rsidP="00A00A4E">
            <w:pPr>
              <w:rPr>
                <w:bCs/>
              </w:rPr>
            </w:pPr>
            <w:r w:rsidRPr="00AC26F8">
              <w:rPr>
                <w:bCs/>
              </w:rPr>
              <w:t>www.patricbrc.org</w:t>
            </w:r>
          </w:p>
        </w:tc>
      </w:tr>
      <w:tr w:rsidR="00727A02" w:rsidRPr="00AC26F8" w14:paraId="66A5B552" w14:textId="77777777" w:rsidTr="00135D36">
        <w:tc>
          <w:tcPr>
            <w:tcW w:w="3055" w:type="dxa"/>
          </w:tcPr>
          <w:p w14:paraId="5881CCD4" w14:textId="4C15E4C6" w:rsidR="00727A02" w:rsidRPr="00AC26F8" w:rsidRDefault="00727A02" w:rsidP="00A00A4E">
            <w:r w:rsidRPr="00AC26F8">
              <w:t>Kraken2</w:t>
            </w:r>
          </w:p>
        </w:tc>
        <w:tc>
          <w:tcPr>
            <w:tcW w:w="3510" w:type="dxa"/>
          </w:tcPr>
          <w:p w14:paraId="069BB876" w14:textId="6BCD2C13" w:rsidR="00727A02" w:rsidRPr="00AC26F8" w:rsidRDefault="00727A02" w:rsidP="00A00A4E">
            <w:pPr>
              <w:pStyle w:val="Acknowledgement"/>
              <w:ind w:left="0" w:firstLine="0"/>
            </w:pPr>
            <w:r w:rsidRPr="00AC26F8">
              <w:t>Wood et al., 2019</w:t>
            </w:r>
          </w:p>
        </w:tc>
        <w:tc>
          <w:tcPr>
            <w:tcW w:w="2785" w:type="dxa"/>
          </w:tcPr>
          <w:p w14:paraId="1F00395F" w14:textId="43716525" w:rsidR="00727A02" w:rsidRPr="00AC26F8" w:rsidRDefault="00727A02" w:rsidP="00A00A4E">
            <w:pPr>
              <w:rPr>
                <w:bCs/>
              </w:rPr>
            </w:pPr>
            <w:r w:rsidRPr="00AC26F8">
              <w:rPr>
                <w:bCs/>
              </w:rPr>
              <w:t>github.com/DerrickWood/kraken2</w:t>
            </w:r>
          </w:p>
        </w:tc>
      </w:tr>
    </w:tbl>
    <w:p w14:paraId="14F4A11E" w14:textId="5A0281B9" w:rsidR="00F61501" w:rsidRPr="00AC26F8" w:rsidRDefault="00F61501" w:rsidP="00A00A4E">
      <w:pPr>
        <w:pStyle w:val="Acknowledgement"/>
        <w:ind w:left="0" w:firstLine="0"/>
        <w:rPr>
          <w:bCs/>
          <w:sz w:val="20"/>
          <w:szCs w:val="20"/>
          <w:lang w:eastAsia="zh-CN"/>
        </w:rPr>
      </w:pPr>
    </w:p>
    <w:p w14:paraId="64FCB136" w14:textId="3BF8D6CE" w:rsidR="000371AA" w:rsidRPr="00AC26F8" w:rsidRDefault="000371AA" w:rsidP="00A00A4E">
      <w:pPr>
        <w:pStyle w:val="Acknowledgement"/>
        <w:ind w:left="0" w:firstLine="0"/>
        <w:rPr>
          <w:b/>
        </w:rPr>
      </w:pPr>
      <w:r w:rsidRPr="00AC26F8">
        <w:rPr>
          <w:b/>
        </w:rPr>
        <w:t>RESOURCE AVAILABILITY</w:t>
      </w:r>
    </w:p>
    <w:p w14:paraId="048439E1" w14:textId="32A947DF" w:rsidR="00AA35BA" w:rsidRPr="00AC26F8" w:rsidRDefault="00ED2A5A" w:rsidP="00A00A4E">
      <w:pPr>
        <w:pStyle w:val="Acknowledgement"/>
        <w:ind w:left="0" w:firstLine="0"/>
        <w:rPr>
          <w:b/>
        </w:rPr>
      </w:pPr>
      <w:r w:rsidRPr="00AC26F8">
        <w:rPr>
          <w:b/>
        </w:rPr>
        <w:t xml:space="preserve"> </w:t>
      </w:r>
    </w:p>
    <w:p w14:paraId="0FA628C0" w14:textId="72F38D64" w:rsidR="000371AA" w:rsidRPr="00AC26F8" w:rsidRDefault="000371AA" w:rsidP="00A00A4E">
      <w:pPr>
        <w:pStyle w:val="Acknowledgement"/>
        <w:ind w:left="0" w:firstLine="0"/>
        <w:rPr>
          <w:b/>
        </w:rPr>
      </w:pPr>
      <w:r w:rsidRPr="00AC26F8">
        <w:rPr>
          <w:b/>
        </w:rPr>
        <w:t>Lead contact</w:t>
      </w:r>
    </w:p>
    <w:p w14:paraId="62F799C6" w14:textId="76D5B98A" w:rsidR="009D14AD" w:rsidRPr="00AC26F8" w:rsidRDefault="009D14AD" w:rsidP="00A00A4E">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A00A4E">
      <w:pPr>
        <w:pStyle w:val="Acknowledgement"/>
        <w:ind w:left="0" w:firstLine="0"/>
        <w:rPr>
          <w:b/>
        </w:rPr>
      </w:pPr>
    </w:p>
    <w:p w14:paraId="7F8AD4A7" w14:textId="78DDA0BF" w:rsidR="00424601" w:rsidRPr="00AC26F8" w:rsidRDefault="00424601" w:rsidP="00A00A4E">
      <w:pPr>
        <w:pStyle w:val="Acknowledgement"/>
        <w:ind w:left="0" w:firstLine="0"/>
        <w:rPr>
          <w:b/>
        </w:rPr>
      </w:pPr>
      <w:r w:rsidRPr="00AC26F8">
        <w:rPr>
          <w:b/>
        </w:rPr>
        <w:t>Materials Availability</w:t>
      </w:r>
    </w:p>
    <w:p w14:paraId="696CB9BE" w14:textId="631E66E7" w:rsidR="00B91C5E" w:rsidRPr="00AC26F8" w:rsidRDefault="00B91C5E" w:rsidP="00A00A4E">
      <w:pPr>
        <w:pStyle w:val="Acknowledgement"/>
        <w:ind w:left="0" w:firstLine="0"/>
        <w:rPr>
          <w:bCs/>
        </w:rPr>
      </w:pPr>
      <w:r w:rsidRPr="00AC26F8">
        <w:rPr>
          <w:bCs/>
        </w:rPr>
        <w:t>This study did not generate new unique reagents.</w:t>
      </w:r>
    </w:p>
    <w:p w14:paraId="0CC4DDB5" w14:textId="1D9B97AA" w:rsidR="00424601" w:rsidRPr="00AC26F8" w:rsidRDefault="00424601" w:rsidP="00A00A4E">
      <w:pPr>
        <w:pStyle w:val="Acknowledgement"/>
        <w:ind w:left="0" w:firstLine="0"/>
        <w:rPr>
          <w:b/>
        </w:rPr>
      </w:pPr>
    </w:p>
    <w:p w14:paraId="751628F9" w14:textId="3CBAED31" w:rsidR="00424601" w:rsidRPr="00AC26F8" w:rsidRDefault="00424601" w:rsidP="00A00A4E">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A00A4E">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A00A4E">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64A6BB76" w14:textId="326A9037" w:rsidR="00DB5930" w:rsidRPr="00AC26F8" w:rsidRDefault="00DB5930" w:rsidP="00A00A4E">
      <w:pPr>
        <w:pStyle w:val="Acknowledgement"/>
        <w:numPr>
          <w:ilvl w:val="0"/>
          <w:numId w:val="14"/>
        </w:numPr>
        <w:rPr>
          <w:color w:val="000000" w:themeColor="text1"/>
        </w:rPr>
      </w:pPr>
      <w:r w:rsidRPr="00AC26F8">
        <w:rPr>
          <w:color w:val="000000" w:themeColor="text1"/>
        </w:rPr>
        <w:lastRenderedPageBreak/>
        <w:t>Customized Python scripts for all analyses included in this study are available on Github (https://github.com/liaochen1988/Source_codes_for_oral_microbiome_contamination).</w:t>
      </w:r>
    </w:p>
    <w:p w14:paraId="0300A376" w14:textId="77777777" w:rsidR="00C96E9D" w:rsidRPr="00AC26F8" w:rsidRDefault="00C96E9D" w:rsidP="00A00A4E">
      <w:pPr>
        <w:pStyle w:val="Acknowledgement"/>
        <w:ind w:left="0" w:firstLine="0"/>
      </w:pPr>
    </w:p>
    <w:p w14:paraId="7E11DBAE" w14:textId="6988E531" w:rsidR="00770908" w:rsidRPr="00AC26F8" w:rsidRDefault="00B132B8" w:rsidP="00A00A4E">
      <w:pPr>
        <w:pStyle w:val="SMHeading"/>
      </w:pPr>
      <w:r w:rsidRPr="00AC26F8">
        <w:t>METHOD DETAILS</w:t>
      </w:r>
    </w:p>
    <w:p w14:paraId="0E258F29" w14:textId="77777777" w:rsidR="00770908" w:rsidRPr="00AC26F8" w:rsidRDefault="00770908" w:rsidP="00A00A4E">
      <w:pPr>
        <w:rPr>
          <w:b/>
        </w:rPr>
      </w:pPr>
    </w:p>
    <w:p w14:paraId="51F1CF91" w14:textId="77777777" w:rsidR="00770908" w:rsidRPr="00AC26F8" w:rsidRDefault="00770908" w:rsidP="00A00A4E">
      <w:pPr>
        <w:rPr>
          <w:b/>
        </w:rPr>
      </w:pPr>
      <w:r w:rsidRPr="00AC26F8">
        <w:rPr>
          <w:b/>
        </w:rPr>
        <w:t>Ecological modeling</w:t>
      </w:r>
    </w:p>
    <w:p w14:paraId="44B4C5F1" w14:textId="6B35AFD0" w:rsidR="00770908" w:rsidRPr="00AC26F8" w:rsidRDefault="00770908" w:rsidP="00A00A4E">
      <w:r w:rsidRPr="00AC26F8">
        <w:t xml:space="preserve">Our model (Eq. (1)-(2) in the main text) describes several key ecological processes associated with the oral-derived and gut-resident bacterial populations: transmission of oral bacteria to the gut lumen (zero-order kinetics), excretion of both populations in feces (first-order kinetics), population growth, and intra-/inter-population competition for resources (Lotka-Volterra-type </w:t>
      </w:r>
      <w:r w:rsidRPr="00AC26F8">
        <w:fldChar w:fldCharType="begin"/>
      </w:r>
      <w:r w:rsidR="00D42550" w:rsidRPr="00AC26F8">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w:instrText>
      </w:r>
      <w:r w:rsidRPr="00AC26F8">
        <w:fldChar w:fldCharType="separate"/>
      </w:r>
      <w:r w:rsidR="00D42550" w:rsidRPr="00AC26F8">
        <w:rPr>
          <w:noProof/>
        </w:rPr>
        <w:t>(Stein et al., 2013)</w:t>
      </w:r>
      <w:r w:rsidRPr="00AC26F8">
        <w:fldChar w:fldCharType="end"/>
      </w:r>
      <w:r w:rsidRPr="00AC26F8">
        <w:t xml:space="preserve">). The host effects such as gut inflammation are not explicitly modeled. We focus on antibiotic-induced perturbations and assume that antibiotics inhibit growth of both types of bacteria equally. If the averaged inhibitory effects between oral and gut bacteria are proportional and differ by a constant, the coefficients representing the unequal inhibitory effects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can be absorbed into the growth rates (</w:t>
      </w:r>
      <m:oMath>
        <m:sSub>
          <m:sSubPr>
            <m:ctrlPr>
              <w:rPr>
                <w:rFonts w:ascii="Cambria Math" w:hAnsi="Cambria Math"/>
              </w:rPr>
            </m:ctrlPr>
          </m:sSubPr>
          <m:e>
            <m:r>
              <w:rPr>
                <w:rFonts w:ascii="Cambria Math" w:hAnsi="Cambria Math"/>
              </w:rPr>
              <m:t>γ</m:t>
            </m:r>
          </m:e>
          <m:sub>
            <m:r>
              <w:rPr>
                <w:rFonts w:ascii="Cambria Math" w:hAnsi="Cambria Math"/>
              </w:rPr>
              <m:t>o</m:t>
            </m:r>
          </m:sub>
        </m:sSub>
      </m:oMath>
      <w:r w:rsidRPr="00AC26F8">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rsidRPr="00AC26F8">
        <w:t xml:space="preserve">). Since oral cavity would be only briefly exposed to antibiotics during swallowing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we assume that ϵ does not affect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Antibiotics may also change dilution rate </w:t>
      </w:r>
      <m:oMath>
        <m:r>
          <w:rPr>
            <w:rFonts w:ascii="Cambria Math" w:hAnsi="Cambria Math"/>
          </w:rPr>
          <m:t>D</m:t>
        </m:r>
      </m:oMath>
      <w:r w:rsidRPr="00AC26F8">
        <w:t xml:space="preserve"> (e.g., inducing diarrhea) but this effect is indirect and generally mild </w:t>
      </w:r>
      <w:r w:rsidRPr="00AC26F8">
        <w:fldChar w:fldCharType="begin"/>
      </w:r>
      <w:r w:rsidR="00D42550" w:rsidRPr="00AC26F8">
        <w:instrText>ADDIN F1000_CSL_CITATION&lt;~#@#~&gt;[{"DOI":"10.1093/cid/cis551","First":false,"Last":false,"PMCID":"PMC3657522","PMID":"22700831","abstract":"Diarrhea is common among hospitalized patients but the causes are distinct from those of diarrhea in the community. We review existing data about the epidemiology of nosocomial diarrhea and summarize recent progress in understanding the mechanisms of diarrhea. Clinicians should recognize that most cases of nosocomial diarrhea have a noninfectious etiology, including medications, underlying illness, and enteral feeding. Apart from Clostridium difficile, the frequency of infectious causes such as norovirus and toxigenic strains of Clostridium perfringens, Klebsiella oxytoca, Staphylococcus aureus, and Bacteroides fragilis remains largely undefined and test availability is limited. Here we provide a practical approach to the evaluation and management of nosocomial diarrhea when tests for C. difficile are negative.","author":[{"family":"Polage","given":"Christopher R"},{"family":"Solnick","given":"Jay V"},{"family":"Cohen","given":"Stuart H"}],"authorYearDisplayFormat":false,"citation-label":"1024172","container-title":"Clinical Infectious Diseases","container-title-short":"Clin. Infect. Dis.","id":"1024172","invisible":false,"issue":"7","issued":{"date-parts":[["2012","10"]]},"journalAbbreviation":"Clin. Infect. Dis.","page":"982-989","suppress-author":false,"title":"Nosocomial diarrhea: evaluation and treatment of causes other than Clostridium difficile.","type":"article-journal","volume":"55"}]</w:instrText>
      </w:r>
      <w:r w:rsidRPr="00AC26F8">
        <w:fldChar w:fldCharType="separate"/>
      </w:r>
      <w:r w:rsidR="00D42550" w:rsidRPr="00AC26F8">
        <w:rPr>
          <w:noProof/>
        </w:rPr>
        <w:t>(Polage et al., 2012)</w:t>
      </w:r>
      <w:r w:rsidRPr="00AC26F8">
        <w:fldChar w:fldCharType="end"/>
      </w:r>
      <w:r w:rsidRPr="00AC26F8">
        <w:t xml:space="preserve">. The details of model derivation and analytical solutions are available in </w:t>
      </w:r>
      <w:r w:rsidR="00373FB2" w:rsidRPr="00AC26F8">
        <w:rPr>
          <w:b/>
          <w:bCs/>
        </w:rPr>
        <w:t>Supplemental Information</w:t>
      </w:r>
      <w:r w:rsidRPr="00AC26F8">
        <w:t xml:space="preserve">. Unless otherwise noted, the model parameters are assigned to their default values: </w:t>
      </w:r>
      <m:oMath>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=0.001</m:t>
        </m:r>
      </m:oMath>
      <w:r w:rsidRPr="00AC26F8">
        <w:t xml:space="preserve">, </w:t>
      </w:r>
      <m:oMath>
        <m:r>
          <w:rPr>
            <w:rFonts w:ascii="Cambria Math" w:hAnsi="Cambria Math"/>
          </w:rPr>
          <m:t>D=0.2</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=1</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g</m:t>
            </m:r>
          </m:sub>
        </m:sSub>
        <m:r>
          <w:rPr>
            <w:rFonts w:ascii="Cambria Math" w:hAnsi="Cambria Math"/>
          </w:rPr>
          <m:t>=1</m:t>
        </m:r>
      </m:oMath>
      <w:r w:rsidRPr="00AC26F8">
        <w:t>.</w:t>
      </w:r>
    </w:p>
    <w:p w14:paraId="661A8757" w14:textId="77777777" w:rsidR="00770908" w:rsidRPr="00AC26F8" w:rsidRDefault="00770908" w:rsidP="00A00A4E">
      <w:pPr>
        <w:rPr>
          <w:color w:val="222222"/>
        </w:rPr>
      </w:pPr>
    </w:p>
    <w:p w14:paraId="22C6F7D0" w14:textId="000021B6" w:rsidR="00770908" w:rsidRDefault="00770908" w:rsidP="00A00A4E">
      <w:pPr>
        <w:rPr>
          <w:b/>
          <w:color w:val="222222"/>
        </w:rPr>
      </w:pPr>
      <w:r w:rsidRPr="00AC26F8">
        <w:rPr>
          <w:b/>
          <w:color w:val="222222"/>
        </w:rPr>
        <w:t>Quantifying oral bacteria fraction in microbiome samples</w:t>
      </w:r>
    </w:p>
    <w:p w14:paraId="2019ECEE" w14:textId="4D9F9A2B" w:rsidR="00374C0D" w:rsidRPr="00AC26F8" w:rsidRDefault="00374C0D" w:rsidP="00A00A4E">
      <w:pPr>
        <w:rPr>
          <w:b/>
          <w:color w:val="222222"/>
        </w:rPr>
      </w:pPr>
      <w:r>
        <w:t xml:space="preserve">A similar approach using the Human Oral Microbiome Database (HOMD) has been previously employed to classify oral bacteria </w:t>
      </w:r>
      <w:r>
        <w:fldChar w:fldCharType="begin"/>
      </w:r>
      <w:r w:rsidR="002D75C3">
        <w:instrText xml:space="preserve"> ADDIN EN.CITE &lt;EndNote&gt;&lt;Cite&gt;&lt;Author&gt;Coker&lt;/Author&gt;&lt;Year&gt;2018&lt;/Year&gt;&lt;RecNum&gt;33&lt;/RecNum&gt;&lt;DisplayText&gt;(Coker&lt;style face="italic"&gt; et al.&lt;/style&gt;, 2018; Hu et al., 2022)&lt;/DisplayText&gt;&lt;record&gt;&lt;rec-number&gt;33&lt;/rec-number&gt;&lt;foreign-keys&gt;&lt;key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fldChar w:fldCharType="separate"/>
      </w:r>
      <w:r w:rsidR="002D75C3">
        <w:rPr>
          <w:noProof/>
        </w:rPr>
        <w:t>(Coker</w:t>
      </w:r>
      <w:r w:rsidR="002D75C3" w:rsidRPr="002D75C3">
        <w:rPr>
          <w:i/>
          <w:noProof/>
        </w:rPr>
        <w:t xml:space="preserve"> et al.</w:t>
      </w:r>
      <w:r w:rsidR="002D75C3">
        <w:rPr>
          <w:noProof/>
        </w:rPr>
        <w:t>, 2018; Hu et al., 2022)</w:t>
      </w:r>
      <w:r>
        <w:fldChar w:fldCharType="end"/>
      </w:r>
      <w:r>
        <w:t>.</w:t>
      </w:r>
    </w:p>
    <w:p w14:paraId="17020665" w14:textId="77777777" w:rsidR="004134D7" w:rsidRPr="00AC26F8" w:rsidRDefault="00770908" w:rsidP="00A00A4E">
      <w:r w:rsidRPr="00AC26F8">
        <w:t>We model the bacterial community in any microbiome sample as a linear combination of five source communities, corresponding to the typical communities of the five bacterial habitats revealed by the HMP dataset in the tSNE plot.</w:t>
      </w:r>
      <w:r w:rsidR="004134D7" w:rsidRPr="00AC26F8">
        <w:t xml:space="preserve"> Our approach is based on two assumptions: (1) bacteria translocate among different body sites </w:t>
      </w:r>
      <w:r w:rsidR="004134D7" w:rsidRPr="00AC26F8">
        <w:fldChar w:fldCharType="begin"/>
      </w:r>
      <w:r w:rsidR="004134D7" w:rsidRPr="00AC26F8">
        <w:instrText>ADDIN F1000_CSL_CITATION&lt;~#@#~&gt;[{"DOI":"10.1136/gut.42.1.29","First":false,"Last":false,"PMCID":"PMC1726947","PMID":"9505882","abstract":"&lt;strong&gt;BACKGROUND:&lt;/strong&gt; Gut translocation of bacteria has been shown in both animal and human studies. Evidence from animal studies that links bacteria translocation to the development of postoperative sepsis and multiple organ failure has yet to be confirmed in humans.&lt;br&gt;&lt;br&gt;&lt;strong&gt;AIMS:&lt;/strong&gt; To examine the spectrum of bacteria involved in translocation in surgical patients undergoing laparotomy and to determine the relation between nodal migration of bacteria and the development of postoperative septic complications.&lt;br&gt;&lt;br&gt;&lt;strong&gt;METHODS:&lt;/strong&gt; Mesenteric lymph nodes (MLN), serosal scrapings, and peripheral blood from 448 surgical patients undergoing laparotomy were analysed using standard microbiological techniques.&lt;br&gt;&lt;br&gt;&lt;strong&gt;RESULTS:&lt;/strong&gt; Bacterial translocation was identified in 69 patients (15.4%). The most common organism identified was Escherichia coli (54%). Both enteric bacteria, typical of indigenous intestinal flora, and non-enteric bacteria were isolated. Postoperative septic complications developed in 104 patients (23%). Enteric organisms were responsible in 74% of patients. Forty one per cent of patients who had evidence of bacterial translocation developed sepsis compared with 14% in whom no organisms were cultured (p &lt;  0.001). Septic morbidity was more frequent when a greater diversity of bacteria resided within the MLN, but this was not statistically significant.&lt;br&gt;&lt;br&gt;&lt;strong&gt;CONCLUSION:&lt;/strong&gt; Bacterial translocation is associated with a significant increase in the development of postoperative sepsis in surgical patients. The organisms responsible for septic morbidity are similar in spectrum to those observed in the mesenteric lymph nodes. These data strongly support the gut origin hypothesis of sepsis in humans.","author":[{"family":"O'Boyle","given":"C J"},{"family":"MacFie","given":"J"},{"family":"Mitchell","given":"C J"},{"family":"Johnstone","given":"D"},{"family":"Sagar","given":"P M"},{"family":"Sedman","given":"P C"}],"authorYearDisplayFormat":false,"citation-label":"4937699","container-title":"Gut","container-title-short":"Gut","id":"4937699","invisible":false,"issue":"1","issued":{"date-parts":[["1998","1"]]},"journalAbbreviation":"Gut","page":"29-35","suppress-author":false,"title":"Microbiology of bacterial translocation in humans.","type":"article-journal","volume":"42"}]</w:instrText>
      </w:r>
      <w:r w:rsidR="004134D7" w:rsidRPr="00AC26F8">
        <w:fldChar w:fldCharType="separate"/>
      </w:r>
      <w:r w:rsidR="004134D7" w:rsidRPr="00AC26F8">
        <w:t>(O’Boyle et al., 1998)</w:t>
      </w:r>
      <w:r w:rsidR="004134D7" w:rsidRPr="00AC26F8">
        <w:fldChar w:fldCharType="end"/>
      </w:r>
      <w:r w:rsidR="004134D7" w:rsidRPr="00AC26F8">
        <w:t xml:space="preserve"> within individuals and (2) each human body site is a distinct habitat that selects for a particular microbiome composition, such that the microbiome composition at a specific body site in one person can be approximated by the typical composition shared among the entire population. The second assumption is supported by findings that microbiome compositions vary more between body sites within the same individuals than between the same body site but in different individuals </w:t>
      </w:r>
      <w:r w:rsidR="004134D7" w:rsidRPr="00AC26F8">
        <w:fldChar w:fldCharType="begin"/>
      </w:r>
      <w:r w:rsidR="004134D7" w:rsidRPr="00AC26F8">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microbiome.","type":"article-journal","volume":"486"},{"DOI":"10.1038/nm.4272","First":false,"Last":false,"PMCID":"PMC5345907","PMID":"28112736","abstract":"Human microbial communities are characterized by their taxonomic, metagenomic and metabolic diversity, which varies by distinct body sites and influences human physiology. However, when and how microbial communities within each body niche acquire unique taxonomical and functional signatures in early life remains underexplored. We thus sought to determine the taxonomic composition and potential metabolic function of the neonatal and early infant microbiota across multiple body sites and assess the effect of the mode of delivery and its potential confounders or modifiers. A cohort of pregnant women in their early third trimester (n = 81) were prospectively enrolled for longitudinal sampling through 6 weeks after delivery, and a second matched cross-sectional cohort (n = 81) was additionally recruited for sampling once at the time of delivery. Samples across multiple body sites, including stool, oral gingiva, nares, skin and vagina were collected for each maternal-infant dyad. Whole-genome shotgun sequencing and sequencing analysis of the gene encoding the 16S rRNA were performed to interrogate the composition and function of the neonatal and maternal microbiota. We found that the neonatal microbiota and its associated functional pathways were relatively homogeneous across all body sites at delivery, with the notable exception of the neonatal meconium. However, by 6 weeks after delivery, the infant microbiota structure and function had substantially expanded and diversified, with the body site serving as the primary determinant of the composition of the bacterial community and its functional capacity. Although minor variations in the neonatal (immediately at birth) microbiota community structure were associated with the cesarean mode of delivery in some body sites (oral gingiva, nares and skin; R2 = 0.038), this was not true for neonatal stool (meconium; Mann-Whitney P &gt; 0.05), and there was no observable difference in community function regardless of delivery mode. For infants at 6 weeks of age, the microbiota structure and function had expanded and diversified with demonstrable body site specificity (P &lt;  0.001, R2 = 0.189) but without discernable differences in community structure or function between infants delivered vaginally or by cesarean surgery (P = 0.057, R2 = 0.007). We conclude that within the first 6 weeks of life, the infant microbiota undergoes substantial reorganization, which is primarily driven by body site and not by mode of delivery.","author":[{"family":"Chu","given":"Derrick M"},{"family":"Ma","given":"Jun"},{"family":"Prince","given":"Amanda L"},{"family":"Antony","given":"Kathleen M"},{"family":"Seferovic","given":"Maxim D"},{"family":"Aagaard","given":"Kjersti M"}],"authorYearDisplayFormat":false,"citation-label":"3014890","container-title":"Nature Medicine","container-title-short":"Nat. Med.","id":"3014890","invisible":false,"issue":"3","issued":{"date-parts":[["2017","3"]]},"journalAbbreviation":"Nat. Med.","page":"314-326","suppress-author":false,"title":"Maturation of the infant microbiome community structure and function across multiple body sites and in relation to mode of delivery.","type":"article-journal","volume":"23"},{"DOI":"10.1186/gb-2012-13-6-r42","First":false,"Last":false,"PMCID":"PMC3446314","PMID":"22698087","abstract":"&lt;strong&gt;BACKGROUND:&lt;/strong&gt; To understand the relationship between our bacterial microbiome and health, it is essential to define the microbiome in the absence of disease. The digestive tract includes diverse habitats and hosts the human body's greatest bacterial density. We describe the bacterial community composition of ten digestive tract sites from more than 200 normal adults enrolled in the Human Microbiome Project, and metagenomically determined metabolic potentials of four representative sites.&lt;br&gt;&lt;br&gt;&lt;strong&gt;RESULTS:&lt;/strong&gt; The microbiota of these diverse habitats formed four groups based on similar community compositions: buccal mucosa, keratinized gingiva, hard palate; saliva, tongue, tonsils, throat; sub- and supra-gingival plaques; and stool. Phyla initially identified from environmental samples were detected throughout this population, primarily TM7, SR1, and Synergistetes. Genera with pathogenic members were well-represented among this disease-free cohort. Tooth-associated communities were distinct, but not entirely dissimilar, from other oral surfaces. The Porphyromonadaceae, Veillonellaceae and Lachnospiraceae families were common to all sites, but the distributions of their genera varied significantly. Most metabolic processes were distributed widely throughout the digestive tract microbiota, with variations in metagenomic abundance between body habitats. These included shifts in sugar transporter types between the supragingival plaque, other oral surfaces, and stool; hydrogen and hydrogen sulfide production were also differentially distributed.&lt;br&gt;&lt;br&gt;&lt;strong&gt;CONCLUSIONS:&lt;/strong&gt; The microbiomes of ten digestive tract sites separated into four types based on composition. A core set of metabolic pathways was present across these diverse digestive tract habitats. These data provide a critical baseline for future studies investigating local and systemic diseases affecting human health.","author":[{"family":"Segata","given":"Nicola"},{"family":"Haake","given":"Susan Kinder"},{"family":"Mannon","given":"Peter"},{"family":"Lemon","given":"Katherine P"},{"family":"Waldron","given":"Levi"},{"family":"Gevers","given":"Dirk"},{"family":"Huttenhower","given":"Curtis"},{"family":"Izard","given":"Jacques"}],"authorYearDisplayFormat":false,"citation-label":"594073","container-title":"Genome Biology","container-title-short":"Genome Biol.","id":"594073","invisible":false,"issue":"6","issued":{"date-parts":[["2012","6","14"]]},"journalAbbreviation":"Genome Biol.","page":"R42","suppress-author":false,"title":"Composition of the adult digestive tract bacterial microbiome based on seven mouth surfaces, tonsils, throat and stool samples.","type":"article-journal","volume":"13"}]</w:instrText>
      </w:r>
      <w:r w:rsidR="004134D7" w:rsidRPr="00AC26F8">
        <w:fldChar w:fldCharType="separate"/>
      </w:r>
      <w:r w:rsidR="004134D7" w:rsidRPr="00AC26F8">
        <w:t>(Chu et al., 2017; Human Microbiome Project Consortium, 2012; Segata et al., 2012)</w:t>
      </w:r>
      <w:r w:rsidR="004134D7" w:rsidRPr="00AC26F8">
        <w:fldChar w:fldCharType="end"/>
      </w:r>
      <w:r w:rsidR="004134D7" w:rsidRPr="00AC26F8">
        <w:t>.</w:t>
      </w:r>
    </w:p>
    <w:p w14:paraId="4BDCAB7D" w14:textId="77777777" w:rsidR="004C2E17" w:rsidRPr="00AC26F8" w:rsidRDefault="00770908" w:rsidP="00A00A4E">
      <w:pPr>
        <w:ind w:firstLine="720"/>
      </w:pPr>
      <w:r w:rsidRPr="00AC26F8">
        <w:t>We simultaneously obtained the typical compositions of these habitats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and their mixing proportions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in HMP samples by decomposing the HMP relative abundance table (</w:t>
      </w:r>
      <m:oMath>
        <m:sSub>
          <m:sSubPr>
            <m:ctrlPr>
              <w:rPr>
                <w:rFonts w:ascii="Cambria Math" w:hAnsi="Cambria Math"/>
              </w:rPr>
            </m:ctrlPr>
          </m:sSubPr>
          <m:e>
            <m:r>
              <w:rPr>
                <w:rFonts w:ascii="Cambria Math" w:hAnsi="Cambria Math"/>
              </w:rPr>
              <m:t>X</m:t>
            </m:r>
          </m:e>
          <m:sub>
            <m:r>
              <w:rPr>
                <w:rFonts w:ascii="Cambria Math" w:hAnsi="Cambria Math"/>
              </w:rPr>
              <m:t>hmp</m:t>
            </m:r>
          </m:sub>
        </m:sSub>
      </m:oMath>
      <w:r w:rsidRPr="00AC26F8">
        <w:t xml:space="preserve">) using Non-negative Matrix Factorization (NMF). The following objective function was minimized by NMF under the constraints that both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and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are non-negative: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oMath>
      <w:r w:rsidRPr="00AC26F8">
        <w:t xml:space="preserve">, where </w:t>
      </w:r>
      <m:oMath>
        <m:r>
          <w:rPr>
            <w:rFonts w:ascii="Cambria Math" w:hAnsi="Cambria Math"/>
          </w:rPr>
          <m:t>||vec(∙)|</m:t>
        </m:r>
        <m:sSub>
          <m:sSubPr>
            <m:ctrlPr>
              <w:rPr>
                <w:rFonts w:ascii="Cambria Math" w:hAnsi="Cambria Math"/>
              </w:rPr>
            </m:ctrlPr>
          </m:sSubPr>
          <m:e>
            <m:r>
              <w:rPr>
                <w:rFonts w:ascii="Cambria Math" w:hAnsi="Cambria Math"/>
              </w:rPr>
              <m:t>|</m:t>
            </m:r>
          </m:e>
          <m:sub>
            <m:r>
              <w:rPr>
                <w:rFonts w:ascii="Cambria Math" w:hAnsi="Cambria Math"/>
              </w:rPr>
              <m:t>1</m:t>
            </m:r>
          </m:sub>
        </m:sSub>
      </m:oMath>
      <w:r w:rsidRPr="00AC26F8">
        <w:t xml:space="preserve">is the element-wise L1 norm,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Fro</m:t>
            </m:r>
          </m:sub>
        </m:sSub>
      </m:oMath>
      <w:r w:rsidRPr="00AC26F8">
        <w:t xml:space="preserve"> is the Frobenius norm, and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kl</m:t>
            </m:r>
          </m:sub>
        </m:sSub>
      </m:oMath>
      <w:r w:rsidRPr="00AC26F8">
        <w:t xml:space="preserve"> is the Kullback-Leibler distance. Both </w:t>
      </w:r>
      <m:oMath>
        <m:r>
          <w:rPr>
            <w:rFonts w:ascii="Cambria Math" w:hAnsi="Cambria Math"/>
          </w:rPr>
          <m:t>α</m:t>
        </m:r>
      </m:oMath>
      <w:r w:rsidRPr="00AC26F8">
        <w:t xml:space="preserve"> (a constant that multiplies the regularization term) and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AC26F8">
        <w:t>(a regularization mixing parameter) are set to zero because the decomposition error (i.e.,</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xml:space="preserve">) is optimized without </w:t>
      </w:r>
      <w:r w:rsidRPr="00AC26F8">
        <w:lastRenderedPageBreak/>
        <w:t xml:space="preserve">regularization (see </w:t>
      </w:r>
      <w:r w:rsidRPr="00AC26F8">
        <w:rPr>
          <w:b/>
        </w:rPr>
        <w:t>Fig. S1A</w:t>
      </w:r>
      <w:r w:rsidRPr="00AC26F8">
        <w:t xml:space="preserve">). We normalized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such that each row sum equals to 1 (i.e., the relative abundance for each community sums up to 1) and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is updated accordingly to keep their product (</w:t>
      </w:r>
      <m:oMath>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the same. Given the microbiome relative abundances of new test samples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the mixing proportions of these samples (</w:t>
      </w:r>
      <m:oMath>
        <m:sSub>
          <m:sSubPr>
            <m:ctrlPr>
              <w:rPr>
                <w:rFonts w:ascii="Cambria Math" w:hAnsi="Cambria Math"/>
              </w:rPr>
            </m:ctrlPr>
          </m:sSubPr>
          <m:e>
            <m:r>
              <w:rPr>
                <w:rFonts w:ascii="Cambria Math" w:hAnsi="Cambria Math"/>
              </w:rPr>
              <m:t>W</m:t>
            </m:r>
          </m:e>
          <m:sub>
            <m:r>
              <w:rPr>
                <w:rFonts w:ascii="Cambria Math" w:hAnsi="Cambria Math"/>
              </w:rPr>
              <m:t>new</m:t>
            </m:r>
          </m:sub>
        </m:sSub>
      </m:oMath>
      <w:r w:rsidRPr="00AC26F8">
        <w:t xml:space="preserve">) can be similarly solved by minimizing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new</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xml:space="preserve"> where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is obtained in the previous step and fixed here. Unless otherwise specified, our approach sums up the fractions of oral bacteria from both oral cavity habitat 1 and 2 to compute “oral bacteria in feces”. </w:t>
      </w:r>
    </w:p>
    <w:p w14:paraId="6A921D2C" w14:textId="026A877E" w:rsidR="00770908" w:rsidRPr="00AC26F8" w:rsidRDefault="00770908" w:rsidP="00A00A4E">
      <w:pPr>
        <w:ind w:firstLine="720"/>
      </w:pPr>
      <w:r w:rsidRPr="00AC26F8">
        <w:t xml:space="preserve">We choose to collapse bacterial taxa at the lowest classified level up to genus for two reasons: (1) the interindividual variability in gut microbiome is lower in higher taxonomic ranks </w:t>
      </w:r>
      <w:r w:rsidRPr="00AC26F8">
        <w:fldChar w:fldCharType="begin"/>
      </w:r>
      <w:r w:rsidR="00D42550" w:rsidRPr="00AC26F8">
        <w:instrText>ADDIN F1000_CSL_CITATION&lt;~#@#~&gt;[{"DOI":"10.1126/science.1110591","First":false,"Last":false,"PMCID":"PMC1395357","PMID":"15831718","abstract":"The human endogenous intestinal microflora is an essential \"organ\" in providing nourishment, regulating epithelial development, and instructing innate immunity; yet, surprisingly, basic features remain poorly described. We examined 13,355 prokaryotic ribosomal RNA gene sequences from multiple colonic mucosal sites and feces of healthy subjects to improve our understanding of gut microbial diversity. A majority of the bacterial sequences corresponded to uncultivated species and novel microorganisms. We discovered significant intersubject variability and differences between stool and mucosa community composition. Characterization of this immensely diverse ecosystem is the first step in elucidating its role in health and disease.","author":[{"family":"Eckburg","given":"Paul B"},{"family":"Bik","given":"Elisabeth M"},{"family":"Bernstein","given":"Charles N"},{"family":"Purdom","given":"Elizabeth"},{"family":"Dethlefsen","given":"Les"},{"family":"Sargent","given":"Michael"},{"family":"Gill","given":"Steven R"},{"family":"Nelson","given":"Karen E"},{"family":"Relman","given":"David A"}],"authorYearDisplayFormat":false,"citation-label":"593838","container-title":"Science","container-title-short":"Science","id":"593838","invisible":false,"issue":"5728","issued":{"date-parts":[["2005","6","10"]]},"journalAbbreviation":"Science","page":"1635-1638","suppress-author":false,"title":"Diversity of the human intestinal microbial flora.","type":"article-journal","volume":"308"},{"DOI":"10.1038/nature11234","First":false,"Last":false,"PMCID":"PMC3564958","PMID":"22699609","abstract":"Studies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fldChar w:fldCharType="separate"/>
      </w:r>
      <w:r w:rsidR="00D42550" w:rsidRPr="00AC26F8">
        <w:rPr>
          <w:noProof/>
        </w:rPr>
        <w:t>(Eckburg et al., 2005; Human Microbiome Project Consortium, 2012)</w:t>
      </w:r>
      <w:r w:rsidRPr="00AC26F8">
        <w:fldChar w:fldCharType="end"/>
      </w:r>
      <w:r w:rsidRPr="00AC26F8">
        <w:t xml:space="preserve"> and (2) higher taxonomic rank reduces batch effects when comparing results across multiple studies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Since the test samples may be classified using any taxonomic database, its relative abundance table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needs to reconstructed to match the taxonomic labels assigned to HMP sequences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using the GreenGenes taxonomy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xml:space="preserve">. When a taxon is not a GreenGenes taxonomy, it will be mapped to the lowest classified taxonomy in GreenGenes along the lineage of the taxon until the rank kingdom. Non-bacterial sequences are removed from all relative abundance tables. </w:t>
      </w:r>
    </w:p>
    <w:p w14:paraId="027600F9" w14:textId="77777777" w:rsidR="00770908" w:rsidRPr="00AC26F8" w:rsidRDefault="00770908" w:rsidP="00A00A4E">
      <w:pPr>
        <w:ind w:firstLine="720"/>
      </w:pPr>
    </w:p>
    <w:p w14:paraId="040FF7B9" w14:textId="77777777" w:rsidR="00770908" w:rsidRPr="00AC26F8" w:rsidRDefault="00770908" w:rsidP="00A00A4E">
      <w:pPr>
        <w:rPr>
          <w:b/>
        </w:rPr>
      </w:pPr>
      <w:r w:rsidRPr="00AC26F8">
        <w:rPr>
          <w:b/>
          <w:color w:val="222222"/>
        </w:rPr>
        <w:t>Alternative oral bacteria quantification approaches</w:t>
      </w:r>
    </w:p>
    <w:p w14:paraId="2BB164C2" w14:textId="77777777" w:rsidR="008939B7" w:rsidRPr="00AC26F8" w:rsidRDefault="00770908" w:rsidP="00A00A4E">
      <w:r w:rsidRPr="00AC26F8">
        <w:t>We adopted two well-established microbial source tracking methods to validate our approach. A Random Forest classifier (1,000 trees with maximum tree depth 5) was trained on all HMP samples to predict sample collection body sites from bacterial composition. The prediction is probabilistic with probabilities calculated as the number of trees voting for each body site divided by the total number of trees in the forest. For new test samples, the proportion from each body site is therefore an average of the relative abundance of all bacterial taxa weighted by the probabilities that they come from the body site.</w:t>
      </w:r>
    </w:p>
    <w:p w14:paraId="49681294" w14:textId="7A15A6EA" w:rsidR="00770908" w:rsidRPr="00AC26F8" w:rsidRDefault="00770908" w:rsidP="00A00A4E">
      <w:pPr>
        <w:ind w:firstLine="720"/>
      </w:pPr>
      <w:r w:rsidRPr="00AC26F8">
        <w:t xml:space="preserve">SourceTracker 2 </w:t>
      </w:r>
      <w:r w:rsidRPr="00AC26F8">
        <w:fldChar w:fldCharType="begin"/>
      </w:r>
      <w:r w:rsidR="00D42550" w:rsidRPr="00AC26F8">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fldChar w:fldCharType="separate"/>
      </w:r>
      <w:r w:rsidR="00D42550" w:rsidRPr="00AC26F8">
        <w:t>(Knights et al., 2011)</w:t>
      </w:r>
      <w:r w:rsidRPr="00AC26F8">
        <w:fldChar w:fldCharType="end"/>
      </w:r>
      <w:r w:rsidRPr="00AC26F8">
        <w:t xml:space="preserve"> uses a Bayesian approach to estimate the mixing proportions of all source communities into a sink community. For any fecal sample as a sink, we used all other samples from different body sites of the same individuals as sources. Rarefaction is performed at 100 sequences/sample for both sources and sinks. The total fraction of oral bacteria in feces is the sum of mean proportions from all oral cavity samples (from different subsites).</w:t>
      </w:r>
    </w:p>
    <w:p w14:paraId="389D87CA" w14:textId="77777777" w:rsidR="00770908" w:rsidRPr="00AC26F8" w:rsidRDefault="00770908" w:rsidP="00A00A4E">
      <w:pPr>
        <w:ind w:firstLine="720"/>
      </w:pPr>
    </w:p>
    <w:p w14:paraId="0E6F29ED" w14:textId="77777777" w:rsidR="00770908" w:rsidRPr="00AC26F8" w:rsidRDefault="00770908" w:rsidP="00A00A4E">
      <w:pPr>
        <w:rPr>
          <w:b/>
        </w:rPr>
      </w:pPr>
      <w:r w:rsidRPr="00AC26F8">
        <w:rPr>
          <w:b/>
        </w:rPr>
        <w:t>Identifying co-occurring ASVs</w:t>
      </w:r>
    </w:p>
    <w:p w14:paraId="59A81EE5" w14:textId="238A43C6" w:rsidR="00770908" w:rsidRPr="00AC26F8" w:rsidRDefault="00770908" w:rsidP="00A00A4E">
      <w:r w:rsidRPr="00AC26F8">
        <w:t xml:space="preserve">The algorithm for computing co-occurrence is described in detail elsewhere </w:t>
      </w:r>
      <w:r w:rsidRPr="00AC26F8">
        <w:fldChar w:fldCharType="begin"/>
      </w:r>
      <w:r w:rsidR="00D42550"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00D42550" w:rsidRPr="00AC26F8">
        <w:t>(Machado et al., 2021)</w:t>
      </w:r>
      <w:r w:rsidRPr="00AC26F8">
        <w:fldChar w:fldCharType="end"/>
      </w:r>
      <w:r w:rsidRPr="00AC26F8">
        <w:t xml:space="preserve">. Briefly, it begins with ASV pairs and iteratively identifies co-occurring ASVs of larger combination sizes. In the next iteration, larger combinations are created by extending all co-occurring groups identified in the current iteration with one new ASV.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 xml:space="preserve">-values for the independent observation hypothesis must be less than 0.05. An oral group is a co-occurring group of oral ASVs. In this analysis, ASVs assigned to the following genera are considered to have an oral origin: </w:t>
      </w:r>
      <w:r w:rsidRPr="00AC26F8">
        <w:rPr>
          <w:i/>
        </w:rPr>
        <w:t>Actinomyces</w:t>
      </w:r>
      <w:r w:rsidRPr="00AC26F8">
        <w:t xml:space="preserve">, </w:t>
      </w:r>
      <w:r w:rsidRPr="00AC26F8">
        <w:rPr>
          <w:i/>
        </w:rPr>
        <w:t>Leptotrichia</w:t>
      </w:r>
      <w:r w:rsidRPr="00AC26F8">
        <w:t xml:space="preserve">, </w:t>
      </w:r>
      <w:r w:rsidRPr="00AC26F8">
        <w:rPr>
          <w:i/>
        </w:rPr>
        <w:t>Campylobacter</w:t>
      </w:r>
      <w:r w:rsidRPr="00AC26F8">
        <w:t xml:space="preserve">, </w:t>
      </w:r>
      <w:r w:rsidRPr="00AC26F8">
        <w:rPr>
          <w:i/>
        </w:rPr>
        <w:t>Fusobacterium</w:t>
      </w:r>
      <w:r w:rsidRPr="00AC26F8">
        <w:t xml:space="preserve">, </w:t>
      </w:r>
      <w:r w:rsidRPr="00AC26F8">
        <w:rPr>
          <w:i/>
        </w:rPr>
        <w:t>Neisseria</w:t>
      </w:r>
      <w:r w:rsidRPr="00AC26F8">
        <w:t xml:space="preserve">, </w:t>
      </w:r>
      <w:r w:rsidRPr="00AC26F8">
        <w:rPr>
          <w:i/>
        </w:rPr>
        <w:t>Corynebacterium</w:t>
      </w:r>
      <w:r w:rsidRPr="00AC26F8">
        <w:t xml:space="preserve">, </w:t>
      </w:r>
      <w:r w:rsidRPr="00AC26F8">
        <w:rPr>
          <w:i/>
        </w:rPr>
        <w:t>Rothia</w:t>
      </w:r>
      <w:r w:rsidRPr="00AC26F8">
        <w:t xml:space="preserve">, </w:t>
      </w:r>
      <w:r w:rsidRPr="00AC26F8">
        <w:rPr>
          <w:i/>
        </w:rPr>
        <w:t>Treponema</w:t>
      </w:r>
      <w:r w:rsidRPr="00AC26F8">
        <w:t xml:space="preserve">, </w:t>
      </w:r>
      <w:r w:rsidRPr="00AC26F8">
        <w:rPr>
          <w:i/>
        </w:rPr>
        <w:t>Veillonella</w:t>
      </w:r>
      <w:r w:rsidRPr="00AC26F8">
        <w:t xml:space="preserve">, </w:t>
      </w:r>
      <w:r w:rsidRPr="00AC26F8">
        <w:rPr>
          <w:i/>
        </w:rPr>
        <w:t>Prevotella</w:t>
      </w:r>
      <w:r w:rsidRPr="00AC26F8">
        <w:t xml:space="preserve">, </w:t>
      </w:r>
      <w:r w:rsidRPr="00AC26F8">
        <w:rPr>
          <w:i/>
        </w:rPr>
        <w:t>Streptococcus</w:t>
      </w:r>
      <w:r w:rsidRPr="00AC26F8">
        <w:t xml:space="preserve">, </w:t>
      </w:r>
      <w:r w:rsidRPr="00AC26F8">
        <w:rPr>
          <w:i/>
        </w:rPr>
        <w:t>Capnocytophaga</w:t>
      </w:r>
      <w:r w:rsidRPr="00AC26F8">
        <w:t>,</w:t>
      </w:r>
      <w:r w:rsidRPr="00AC26F8">
        <w:rPr>
          <w:i/>
        </w:rPr>
        <w:t xml:space="preserve"> Haemophilus</w:t>
      </w:r>
      <w:r w:rsidRPr="00AC26F8">
        <w:t xml:space="preserve">. This list is a conservative enumeration based on </w:t>
      </w:r>
      <w:r w:rsidRPr="00AC26F8">
        <w:lastRenderedPageBreak/>
        <w:t xml:space="preserve">the overlaps between principal bacterial genera found in the healthy oral cavity </w:t>
      </w:r>
      <w:r w:rsidRPr="00AC26F8">
        <w:fldChar w:fldCharType="begin"/>
      </w:r>
      <w:r w:rsidR="00D42550" w:rsidRPr="00AC26F8">
        <w:instrText>ADDIN F1000_CSL_CITATION&lt;~#@#~&gt;[{"DOI":"10.4103/jomfp.JOMFP_304_18","First":false,"Last":false,"PMCID":"PMC6503789","PMID":"31110428","abstract":"The oral cavity has the second largest and diverse microbiota after the gut harboring over 700 species of bacteria. It nurtures numerous microorganisms which include bacteria, fungi, viruses and protozoa. The mouth with its various niches is an exceptionally complex habitat where microbes colonize the hard surfaces of the teeth and the soft tissues of the oral mucosa. In addition to being the initiation point of digestion, the oral microbiome is crucial in maintaining oral as well as systemic health. Because of the ease of sample collection, it has become the most well-studied microbiome till date. Previously, studying the microbiome was limited to the conventional culture-dependent techniques, but the abundant microflora present in the oral cavity could not be cultured. Hence, studying the microbiome was difficult. The emergence of new genomic technologies including next-generation sequencing and bioinformatics has revealed the complexities of the oral microbiome. It has provided a powerful means of studying the microbiome. Understanding the oral microbiome in health and disease will give further directions to explore the functional and metabolic alterations associated with the diseased states and to identify molecular signatures for drug development and targeted therapies which will ultimately help in rendering personalized and precision medicine. This review article is an attempt to explain the different aspects of the oral microbiome in health.","author":[{"family":"Deo","given":"Priya Nimish"},{"family":"Deshmukh","given":"Revati"}],"authorYearDisplayFormat":false,"citation-label":"8509697","container-title":"Journal of oral and maxillofacial pathology : JOMFP","container-title-short":"J. Oral Maxillofac. Pathol.","id":"8509697","invisible":false,"issue":"1","issued":{"date-parts":[["2019","4"]]},"journalAbbreviation":"J. Oral Maxillofac. Pathol.","page":"122-128","suppress-author":false,"title":"Oral microbiome: Unveiling the fundamentals.","type":"article-journal","volume":"23"}]</w:instrText>
      </w:r>
      <w:r w:rsidRPr="00AC26F8">
        <w:fldChar w:fldCharType="separate"/>
      </w:r>
      <w:r w:rsidR="00D42550" w:rsidRPr="00AC26F8">
        <w:t>(Deo and Deshmukh, 2019)</w:t>
      </w:r>
      <w:r w:rsidRPr="00AC26F8">
        <w:fldChar w:fldCharType="end"/>
      </w:r>
      <w:r w:rsidRPr="00AC26F8">
        <w:t xml:space="preserve"> and the major signature taxa (relative abundance </w:t>
      </w:r>
      <m:oMath>
        <m:r>
          <w:rPr>
            <w:rFonts w:ascii="Cambria Math" w:hAnsi="Cambria Math"/>
          </w:rPr>
          <m:t>≥</m:t>
        </m:r>
      </m:oMath>
      <w:r w:rsidRPr="00AC26F8">
        <w:t xml:space="preserve">1%) of the oral cavity habitat 1 and 2 of the HMP samples. </w:t>
      </w:r>
    </w:p>
    <w:p w14:paraId="21B62111" w14:textId="77777777" w:rsidR="00770908" w:rsidRPr="00AC26F8" w:rsidRDefault="00770908" w:rsidP="00A00A4E"/>
    <w:p w14:paraId="631F55E7" w14:textId="77777777" w:rsidR="00770908" w:rsidRPr="00AC26F8" w:rsidRDefault="00770908" w:rsidP="00A00A4E">
      <w:pPr>
        <w:rPr>
          <w:b/>
        </w:rPr>
      </w:pPr>
      <w:r w:rsidRPr="00AC26F8">
        <w:rPr>
          <w:b/>
        </w:rPr>
        <w:t>16S rRNA gene amplicon sequencing data analysis</w:t>
      </w:r>
    </w:p>
    <w:p w14:paraId="07F078F4" w14:textId="372C8A23" w:rsidR="009B2BBC" w:rsidRPr="00AC26F8" w:rsidRDefault="00770908" w:rsidP="00A00A4E">
      <w:r w:rsidRPr="00AC26F8">
        <w:t>Generally, we prefer to adopt the</w:t>
      </w:r>
      <w:r w:rsidR="00B74C33" w:rsidRPr="00AC26F8">
        <w:t xml:space="preserve"> metadata,</w:t>
      </w:r>
      <w:r w:rsidRPr="00AC26F8">
        <w:t xml:space="preserve"> OTU/ASV abundances and taxonomy used in the original studies if provided. This helps us contrast our results with their findings by minimizing the technical differences in processing their 16S sequences. </w:t>
      </w:r>
      <w:r w:rsidR="009B2BBC" w:rsidRPr="00AC26F8">
        <w:t>Sample metadata</w:t>
      </w:r>
      <w:r w:rsidR="00B74C33" w:rsidRPr="00AC26F8">
        <w:t xml:space="preserve">, </w:t>
      </w:r>
      <w:r w:rsidR="009B2BBC" w:rsidRPr="00AC26F8">
        <w:t xml:space="preserve">OTU table (including taxonomy) and sequences of the HMP cohort were downloaded from the HMP website (https://www.hmpdacc.org/HMQCP/all/). Sample, subject and clinical metadata, taxonomy and counts of ASVs, 16S/18S quantitative PCR data, and binarized fungal CFU counts of the MSK cohort </w:t>
      </w:r>
      <w:r w:rsidR="009B2BBC" w:rsidRPr="00AC26F8">
        <w:fldChar w:fldCharType="begin"/>
      </w:r>
      <w:r w:rsidR="009B2BBC"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009B2BBC" w:rsidRPr="00AC26F8">
        <w:fldChar w:fldCharType="separate"/>
      </w:r>
      <w:r w:rsidR="009B2BBC" w:rsidRPr="00AC26F8">
        <w:t>(Liao et al., 2021; Yan et al., 2021)</w:t>
      </w:r>
      <w:r w:rsidR="009B2BBC" w:rsidRPr="00AC26F8">
        <w:fldChar w:fldCharType="end"/>
      </w:r>
      <w:r w:rsidR="009B2BBC" w:rsidRPr="00AC26F8">
        <w:t xml:space="preserve"> were downloaded from Figshare  (https://figshare.com/collections/Compilation_of_longitudinal_microbiome_data_and_hospitalome_from_hematopoietic_cell_transplantation_patients/5271128). Subject and clinical metadata</w:t>
      </w:r>
      <w:r w:rsidR="00826E5E" w:rsidRPr="00AC26F8">
        <w:t xml:space="preserve">, </w:t>
      </w:r>
      <w:r w:rsidR="009B2BBC" w:rsidRPr="00AC26F8">
        <w:t xml:space="preserve">and microbial species relative abundance profiles of the PRISM, LifeLines DEEP and NLIBD cohorts were downloaded from the supplementary material of </w:t>
      </w:r>
      <w:r w:rsidR="009B2BBC" w:rsidRPr="00AC26F8">
        <w:fldChar w:fldCharType="begin"/>
      </w:r>
      <w:r w:rsidR="009B2BBC" w:rsidRPr="00AC26F8">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009B2BBC" w:rsidRPr="00AC26F8">
        <w:fldChar w:fldCharType="separate"/>
      </w:r>
      <w:r w:rsidR="009B2BBC" w:rsidRPr="00AC26F8">
        <w:t>Franzosa et al., 2019</w:t>
      </w:r>
      <w:r w:rsidR="009B2BBC" w:rsidRPr="00AC26F8">
        <w:fldChar w:fldCharType="end"/>
      </w:r>
      <w:r w:rsidR="009B2BBC" w:rsidRPr="00AC26F8">
        <w:t>. Subject and clinical metadata, OTU taxonomy and counts of the UMH (</w:t>
      </w:r>
      <w:r w:rsidR="009B2BBC" w:rsidRPr="00AC26F8">
        <w:fldChar w:fldCharType="begin"/>
      </w:r>
      <w:r w:rsidR="009B2BBC" w:rsidRPr="00AC26F8">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009B2BBC" w:rsidRPr="00AC26F8">
        <w:fldChar w:fldCharType="separate"/>
      </w:r>
      <w:r w:rsidR="009B2BBC" w:rsidRPr="00AC26F8">
        <w:t>Schubert et al., 2014</w:t>
      </w:r>
      <w:r w:rsidR="009B2BBC" w:rsidRPr="00AC26F8">
        <w:fldChar w:fldCharType="end"/>
      </w:r>
      <w:r w:rsidR="009B2BBC" w:rsidRPr="00AC26F8">
        <w:t>) and RISK (</w:t>
      </w:r>
      <w:r w:rsidR="009B2BBC" w:rsidRPr="00AC26F8">
        <w:fldChar w:fldCharType="begin"/>
      </w:r>
      <w:r w:rsidR="009B2BBC" w:rsidRPr="00AC26F8">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009B2BBC" w:rsidRPr="00AC26F8">
        <w:fldChar w:fldCharType="separate"/>
      </w:r>
      <w:r w:rsidR="009B2BBC" w:rsidRPr="00AC26F8">
        <w:t>Gevers et al., 2014</w:t>
      </w:r>
      <w:r w:rsidR="009B2BBC" w:rsidRPr="00AC26F8">
        <w:fldChar w:fldCharType="end"/>
      </w:r>
      <w:r w:rsidR="009B2BBC" w:rsidRPr="00AC26F8">
        <w:t>) cohorts were downloaded from the MicrobiomeHD database</w:t>
      </w:r>
      <w:r w:rsidR="0042312C" w:rsidRPr="00AC26F8">
        <w:t xml:space="preserve"> </w:t>
      </w:r>
      <w:r w:rsidR="009B2BBC" w:rsidRPr="00AC26F8">
        <w:t>(</w:t>
      </w:r>
      <w:hyperlink r:id="rId16" w:anchor=".YTqb8y9h1TY">
        <w:r w:rsidR="009B2BBC" w:rsidRPr="00AC26F8">
          <w:t>https://zenodo.org/record/569601#.YTqb8y9h1TY</w:t>
        </w:r>
      </w:hyperlink>
      <w:r w:rsidR="009B2BBC" w:rsidRPr="00AC26F8">
        <w:t xml:space="preserve">). Subject metadata and genus-level quantitative microbiome profiling matrix of the Belgium PSC/IBD cohort were downloaded from the supplementary material of </w:t>
      </w:r>
      <w:r w:rsidR="009B2BBC" w:rsidRPr="00AC26F8">
        <w:fldChar w:fldCharType="begin"/>
      </w:r>
      <w:r w:rsidR="009B2BBC" w:rsidRPr="00AC26F8">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009B2BBC" w:rsidRPr="00AC26F8">
        <w:fldChar w:fldCharType="separate"/>
      </w:r>
      <w:r w:rsidR="009B2BBC" w:rsidRPr="00AC26F8">
        <w:t>Vieira-Silva et al., 2019</w:t>
      </w:r>
      <w:r w:rsidR="009B2BBC" w:rsidRPr="00AC26F8">
        <w:fldChar w:fldCharType="end"/>
      </w:r>
      <w:r w:rsidR="009B2BBC" w:rsidRPr="00AC26F8">
        <w:t xml:space="preserve">. Sample, subject and clinical metadata as well as the OTU table of the PROTECT cohort were downloaded from the supplementary material of the associated publication </w:t>
      </w:r>
      <w:r w:rsidR="009B2BBC" w:rsidRPr="00AC26F8">
        <w:fldChar w:fldCharType="begin"/>
      </w:r>
      <w:r w:rsidR="009B2BBC" w:rsidRPr="00AC26F8">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009B2BBC" w:rsidRPr="00AC26F8">
        <w:fldChar w:fldCharType="separate"/>
      </w:r>
      <w:r w:rsidR="009B2BBC" w:rsidRPr="00AC26F8">
        <w:t>(Schirmer et al., 2018)</w:t>
      </w:r>
      <w:r w:rsidR="009B2BBC" w:rsidRPr="00AC26F8">
        <w:fldChar w:fldCharType="end"/>
      </w:r>
      <w:r w:rsidR="009B2BBC" w:rsidRPr="00AC26F8">
        <w:t>.</w:t>
      </w:r>
      <w:r w:rsidR="00826E5E" w:rsidRPr="00AC26F8">
        <w:t xml:space="preserve"> </w:t>
      </w:r>
      <w:r w:rsidR="009B2BBC" w:rsidRPr="00AC26F8">
        <w:t xml:space="preserve">Sample, subject, clinical metadata as well as other microbiology data of </w:t>
      </w:r>
      <w:r w:rsidR="00826E5E" w:rsidRPr="00AC26F8">
        <w:t xml:space="preserve">the Mount Sinai cohort </w:t>
      </w:r>
      <w:r w:rsidR="00826E5E" w:rsidRPr="00AC26F8">
        <w:fldChar w:fldCharType="begin"/>
      </w:r>
      <w:r w:rsidR="00826E5E" w:rsidRPr="00AC26F8">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00826E5E" w:rsidRPr="00AC26F8">
        <w:fldChar w:fldCharType="separate"/>
      </w:r>
      <w:r w:rsidR="00826E5E" w:rsidRPr="00AC26F8">
        <w:t>(Contijoch et al., 2019)</w:t>
      </w:r>
      <w:r w:rsidR="00826E5E" w:rsidRPr="00AC26F8">
        <w:fldChar w:fldCharType="end"/>
      </w:r>
      <w:r w:rsidR="00826E5E" w:rsidRPr="00AC26F8">
        <w:t xml:space="preserve">, the LUMC cohort </w:t>
      </w:r>
      <w:r w:rsidR="00826E5E" w:rsidRPr="00AC26F8">
        <w:fldChar w:fldCharType="begin"/>
      </w:r>
      <w:r w:rsidR="00826E5E" w:rsidRPr="00AC26F8">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00826E5E" w:rsidRPr="00AC26F8">
        <w:fldChar w:fldCharType="separate"/>
      </w:r>
      <w:r w:rsidR="00826E5E" w:rsidRPr="00AC26F8">
        <w:t>(Bekker et al., 2019)</w:t>
      </w:r>
      <w:r w:rsidR="00826E5E" w:rsidRPr="00AC26F8">
        <w:fldChar w:fldCharType="end"/>
      </w:r>
      <w:r w:rsidR="00826E5E" w:rsidRPr="00AC26F8">
        <w:t xml:space="preserve">, </w:t>
      </w:r>
      <w:r w:rsidR="000A0481" w:rsidRPr="00AC26F8">
        <w:t xml:space="preserve">and </w:t>
      </w:r>
      <w:r w:rsidR="00826E5E" w:rsidRPr="00AC26F8">
        <w:t xml:space="preserve">the UPenn cohort </w:t>
      </w:r>
      <w:r w:rsidR="00826E5E" w:rsidRPr="00AC26F8">
        <w:fldChar w:fldCharType="begin"/>
      </w:r>
      <w:r w:rsidR="00826E5E" w:rsidRPr="00AC26F8">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00826E5E" w:rsidRPr="00AC26F8">
        <w:fldChar w:fldCharType="separate"/>
      </w:r>
      <w:r w:rsidR="00826E5E" w:rsidRPr="00AC26F8">
        <w:t>(Lewis et al., 2015)</w:t>
      </w:r>
      <w:r w:rsidR="00826E5E" w:rsidRPr="00AC26F8">
        <w:fldChar w:fldCharType="end"/>
      </w:r>
      <w:r w:rsidR="00826E5E" w:rsidRPr="00AC26F8">
        <w:t xml:space="preserve"> </w:t>
      </w:r>
      <w:r w:rsidR="009B2BBC" w:rsidRPr="00AC26F8">
        <w:t xml:space="preserve">were downloaded from the supplementary material of the associated </w:t>
      </w:r>
      <w:r w:rsidR="001B0EE2" w:rsidRPr="00AC26F8">
        <w:t>studies</w:t>
      </w:r>
      <w:r w:rsidR="009B2BBC" w:rsidRPr="00AC26F8">
        <w:t>.</w:t>
      </w:r>
    </w:p>
    <w:p w14:paraId="442F58C2" w14:textId="40CB9BEA" w:rsidR="00770908" w:rsidRPr="00AC26F8" w:rsidRDefault="00770908" w:rsidP="00A00A4E">
      <w:pPr>
        <w:ind w:firstLine="720"/>
      </w:pPr>
      <w:r w:rsidRPr="00AC26F8">
        <w:t xml:space="preserve">For samples whose relative microbiome profiles are not provided (the Mount Sinai cohort and LUMC cohort), their 16S reads were downloaded and analyzed using an in-house processing pipeline </w:t>
      </w:r>
      <w:r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Pr="00AC26F8">
        <w:fldChar w:fldCharType="separate"/>
      </w:r>
      <w:r w:rsidR="00D42550" w:rsidRPr="00AC26F8">
        <w:t>(Liao et al., 2021)</w:t>
      </w:r>
      <w:r w:rsidRPr="00AC26F8">
        <w:fldChar w:fldCharType="end"/>
      </w:r>
      <w:r w:rsidRPr="00AC26F8">
        <w:t xml:space="preserve">. Briefly, ASVs were identified using the Divisive Amplicon Denoising Algorithm (DADA2) pipeline including filtering and trimming of the reads </w:t>
      </w:r>
      <w:r w:rsidRPr="00AC26F8">
        <w:fldChar w:fldCharType="begin"/>
      </w:r>
      <w:r w:rsidR="00D42550" w:rsidRPr="00AC26F8">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fldChar w:fldCharType="separate"/>
      </w:r>
      <w:r w:rsidR="00D42550" w:rsidRPr="00AC26F8">
        <w:t>(Callahan et al., 2016)</w:t>
      </w:r>
      <w:r w:rsidRPr="00AC26F8">
        <w:fldChar w:fldCharType="end"/>
      </w:r>
      <w:r w:rsidRPr="00AC26F8">
        <w:t>. Reads were trimmed to the first 180 bp or the first point with a quality score Q&lt;2</w:t>
      </w:r>
      <w:r w:rsidR="00EB17F7" w:rsidRPr="00AC26F8">
        <w:t xml:space="preserve"> (</w:t>
      </w:r>
      <w:r w:rsidR="00EB17F7" w:rsidRPr="00AC26F8">
        <w:rPr>
          <w:bCs/>
        </w:rPr>
        <w:fldChar w:fldCharType="begin"/>
      </w:r>
      <w:r w:rsidR="00EB17F7" w:rsidRPr="00AC26F8">
        <w:rPr>
          <w:bCs/>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00EB17F7" w:rsidRPr="00AC26F8">
        <w:rPr>
          <w:bCs/>
        </w:rPr>
        <w:fldChar w:fldCharType="separate"/>
      </w:r>
      <w:r w:rsidR="00EB17F7" w:rsidRPr="00AC26F8">
        <w:rPr>
          <w:bCs/>
        </w:rPr>
        <w:t>Martin, 2011</w:t>
      </w:r>
      <w:r w:rsidR="00EB17F7" w:rsidRPr="00AC26F8">
        <w:rPr>
          <w:bCs/>
        </w:rPr>
        <w:fldChar w:fldCharType="end"/>
      </w:r>
      <w:r w:rsidR="00EB17F7" w:rsidRPr="00AC26F8">
        <w:t>)</w:t>
      </w:r>
      <w:r w:rsidRPr="00AC26F8">
        <w:t xml:space="preserve">. Reads were removed if they contained ambiguous nucleotides (N) or if two or more errors were expected based on the quality of the trimmed read. We assigned taxonomy to ASVs using the naive Bayesian classifier </w:t>
      </w:r>
      <w:r w:rsidRPr="00AC26F8">
        <w:fldChar w:fldCharType="begin"/>
      </w:r>
      <w:r w:rsidR="00D42550"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00D42550" w:rsidRPr="00AC26F8">
        <w:t>(Wang et al., 2007)</w:t>
      </w:r>
      <w:r w:rsidRPr="00AC26F8">
        <w:fldChar w:fldCharType="end"/>
      </w:r>
      <w:r w:rsidRPr="00AC26F8">
        <w:t xml:space="preserve"> and the SILVA 138 database </w:t>
      </w:r>
      <w:r w:rsidRPr="00AC26F8">
        <w:fldChar w:fldCharType="begin"/>
      </w:r>
      <w:r w:rsidR="00D42550" w:rsidRPr="00AC26F8">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fldChar w:fldCharType="separate"/>
      </w:r>
      <w:r w:rsidR="00D42550" w:rsidRPr="00AC26F8">
        <w:t>(Quast et al., 2013)</w:t>
      </w:r>
      <w:r w:rsidRPr="00AC26F8">
        <w:fldChar w:fldCharType="end"/>
      </w:r>
      <w:r w:rsidRPr="00AC26F8">
        <w:t>.</w:t>
      </w:r>
    </w:p>
    <w:p w14:paraId="3D52FC9C" w14:textId="12F31AF1" w:rsidR="00EB3FE8" w:rsidRPr="00AC26F8" w:rsidRDefault="00EB3FE8" w:rsidP="00A00A4E"/>
    <w:p w14:paraId="56467731" w14:textId="77777777" w:rsidR="00770908" w:rsidRPr="00AC26F8" w:rsidRDefault="00770908" w:rsidP="00A00A4E">
      <w:pPr>
        <w:rPr>
          <w:b/>
        </w:rPr>
      </w:pPr>
      <w:r w:rsidRPr="00AC26F8">
        <w:rPr>
          <w:b/>
        </w:rPr>
        <w:t>Shotgun metagenomic sequencing data analysis</w:t>
      </w:r>
    </w:p>
    <w:p w14:paraId="00F1D316" w14:textId="7E784854" w:rsidR="00770908" w:rsidRPr="00AC26F8" w:rsidRDefault="00770908" w:rsidP="00A00A4E">
      <w:r w:rsidRPr="00AC26F8">
        <w:t xml:space="preserve">The Shotgun data in Lewis </w:t>
      </w:r>
      <w:r w:rsidRPr="00AC26F8">
        <w:rPr>
          <w:i/>
        </w:rPr>
        <w:t>et al.</w:t>
      </w:r>
      <w:r w:rsidRPr="00AC26F8">
        <w:t xml:space="preserve"> 2015 was analyzed using the taxonomic classification services provided by the Pathosystems Resource Integration Center (PATRIC </w:t>
      </w:r>
      <w:r w:rsidRPr="00AC26F8">
        <w:fldChar w:fldCharType="begin"/>
      </w:r>
      <w:r w:rsidR="00D42550" w:rsidRPr="00AC26F8">
        <w:instrText>ADDIN F1000_CSL_CITATION&lt;~#@#~&gt;[{"DOI":"10.1093/nar/gkz943","First":false,"Last":false,"PMCID":"PMC7145515","PMID":"31667520","abstract":"The PathoSystems Resource Integration Center (PATRIC) is the bacterial Bioinformatics Resource Center funded by the National Institute of Allergy and Infectious Diseases (https://www.patricbrc.org). PATRIC supports bioinformatic analyses of all bacteria with a special emphasis on pathogens, offering a rich comparative analysis environment that provides users with access to over 250 000 uniformly annotated and publicly available genomes with curated metadata. PATRIC offers web-based visualization and comparative analysis tools, a private workspace in which users can analyze their own data in the context of the public collections, services that streamline complex bioinformatic workflows and command-line tools for bulk data analysis. Over the past several years, as genomic and other omics-related experiments have become more cost-effective and widespread, we have observed considerable growth in the usage of and demand for easy-to-use, publicly available bioinformatic tools and services. Here we report the recent updates to the PATRIC resource, including new web-based comparative analysis tools, eight new services and the release of a command-line interface to access, query and analyze data.&lt;br&gt;&lt;br&gt;Published by Oxford University Press on behalf of Nucleic Acids Research 2019.","author":[{"family":"Davis","given":"James J"},{"family":"Wattam","given":"Alice R"},{"family":"Aziz","given":"Ramy K"},{"family":"Brettin","given":"Thomas"},{"family":"Butler","given":"Ralph"},{"family":"Butler","given":"Rory M"},{"family":"Chlenski","given":"Philippe"},{"family":"Conrad","given":"Neal"},{"family":"Dickerman","given":"Allan"},{"family":"Dietrich","given":"Emily M"},{"family":"Gabbard","given":"Joseph L"},{"family":"Gerdes","given":"Svetlana"},{"family":"Guard","given":"Andrew"},{"family":"Kenyon","given":"Ronald W"},{"family":"Machi","given":"Dustin"},{"family":"Mao","given":"Chunhong"},{"family":"Murphy-Olson","given":"Dan"},{"family":"Nguyen","given":"Marcus"},{"family":"Nordberg","given":"Eric K"},{"family":"Olsen","given":"Gary J"},{"family":"Olson","given":"Robert D"},{"family":"Overbeek","given":"Jamie C"},{"family":"Overbeek","given":"Ross"},{"family":"Parrello","given":"Bruce"},{"family":"Pusch","given":"Gordon D"},{"family":"Shukla","given":"Maulik"},{"family":"Thomas","given":"Chris"},{"family":"VanOeffelen","given":"Margo"},{"family":"Vonstein","given":"Veronika"},{"family":"Warren","given":"Andrew S"},{"family":"Xia","given":"Fangfang"},{"family":"Xie","given":"Dawen"},{"family":"Yoo","given":"Hyunseung"},{"family":"Stevens","given":"Rick"}],"authorYearDisplayFormat":false,"citation-label":"7711495","container-title":"Nucleic Acids Research","container-title-short":"Nucleic Acids Res.","id":"7711495","invisible":false,"issue":"D1","issued":{"date-parts":[["2020","1","8"]]},"journalAbbreviation":"Nucleic Acids Res.","page":"D606-D612","suppress-author":false,"title":"The PATRIC Bioinformatics Resource Center: expanding data and analysis capabilities.","type":"article-journal","volume":"48"}]</w:instrText>
      </w:r>
      <w:r w:rsidRPr="00AC26F8">
        <w:fldChar w:fldCharType="separate"/>
      </w:r>
      <w:r w:rsidR="00D42550" w:rsidRPr="00AC26F8">
        <w:t>(Davis et al., 2020)</w:t>
      </w:r>
      <w:r w:rsidRPr="00AC26F8">
        <w:fldChar w:fldCharType="end"/>
      </w:r>
      <w:r w:rsidRPr="00AC26F8">
        <w:t xml:space="preserve">). PATRIC can take the SRA accession number of each sample as an input without downloading or transferring the sequencing </w:t>
      </w:r>
      <w:proofErr w:type="gramStart"/>
      <w:r w:rsidRPr="00AC26F8">
        <w:t>files, and</w:t>
      </w:r>
      <w:proofErr w:type="gramEnd"/>
      <w:r w:rsidRPr="00AC26F8">
        <w:t xml:space="preserve"> output the taxonomic classification of metagenomic DNA sequences included in the sample. The default algorithm is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which uses exact k-mer matches to achieve high accuracy and fast classification speeds</w:t>
      </w:r>
      <w:r w:rsidR="004762DD" w:rsidRPr="00AC26F8">
        <w:t>.</w:t>
      </w:r>
    </w:p>
    <w:p w14:paraId="583B989B" w14:textId="22186ECE" w:rsidR="00770908" w:rsidRPr="00AC26F8" w:rsidRDefault="00770908" w:rsidP="00A00A4E">
      <w:pPr>
        <w:ind w:firstLine="720"/>
      </w:pPr>
      <w:r w:rsidRPr="00AC26F8">
        <w:t xml:space="preserve">We used iRep </w:t>
      </w:r>
      <w:r w:rsidRPr="00AC26F8">
        <w:fldChar w:fldCharType="begin"/>
      </w:r>
      <w:r w:rsidR="00D42550" w:rsidRPr="00AC26F8">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fldChar w:fldCharType="separate"/>
      </w:r>
      <w:r w:rsidR="00D42550" w:rsidRPr="00AC26F8">
        <w:t>(Brown et al., 2016)</w:t>
      </w:r>
      <w:r w:rsidRPr="00AC26F8">
        <w:fldChar w:fldCharType="end"/>
      </w:r>
      <w:r w:rsidRPr="00AC26F8">
        <w:t xml:space="preserve"> to determine the replication rates of </w:t>
      </w:r>
      <w:r w:rsidRPr="00AC26F8">
        <w:rPr>
          <w:i/>
        </w:rPr>
        <w:t xml:space="preserve">Streptococcus spp. </w:t>
      </w:r>
      <w:r w:rsidRPr="00AC26F8">
        <w:t xml:space="preserve">that dominate stool samples in the MSK cohort. We first identified 33 Shotgun samples with at least 10% ASV_8 or ASV_16 based on their relative abundances in the 16S samples. We adapted a recently published pipeline </w:t>
      </w:r>
      <w:r w:rsidRPr="00AC26F8">
        <w:fldChar w:fldCharType="begin"/>
      </w:r>
      <w:r w:rsidR="00D42550" w:rsidRPr="00AC26F8">
        <w:instrText>ADDIN F1000_CSL_CITATION&lt;~#@#~&gt;[{"DOI":"10.1101/2021.03.12.435204","First":false,"Last":false,"abstract":"&lt;p&gt;Bacterial bloodstream infections are a major cause of morbidity and mortality among patients undergoing hematopoietic cell transplantation (HCT). Although previous research has demonstrated that pathogenic organisms may translocate from the gut microbiome into the bloodstream to cause infections, the mechanisms by which HCT patients acquire pathogens in their microbiome have not yet been described. We hypothesized that patient-patient transmission may be responsible for pathogens colonizing the microbiome of HCT patients, and that patients who share time and space in the hospital are more likely to share bacterial strains.&lt;/p&gt;\n&lt;p&gt;Here, we used linked-read and short-read metagenomic sequencing to analyze 401 stool samples collected from 149 adults undergoing HCT and hospitalized in the same unit over five years. We used metagenomic assembly and strain-specific comparison methods to investigate transmission of gut microbiota between individuals. While transmission of pathogens was found to be rare, we did observe four pairs of patients who harbor identical or nearly identical &lt;i&gt;E. faecium&lt;/i&gt; strains in their microbiome. These strains may be the result of transmission between patients who shared a room and bathroom, acquisition from a common source in the hospital or transmission from an unsampled source.&lt;/p&gt;\n&lt;p&gt;We also observed identical &lt;i&gt;Akkermansia muciniphila&lt;/i&gt; and &lt;i&gt;Hungatella hathewayi&lt;/i&gt; strains in two pairs of patients. In both cases, the patients were roommates for at least one day, the strain was absent in the putative recipient’s microbiome prior to the period of roommate overlap and the putative recipient had a microbiome perturbed by antibiotic treatment for a bloodstream infection. Finally, we identified multiple patients who acquired identical strains of several species commonly found in commercial probiotics and dairy products, including &lt;i&gt;Lactobacillus rhamnosus&lt;/i&gt; , &lt;i&gt;Lactobacillus gasseri&lt;/i&gt; and &lt;i&gt;Streptococcus thermophilus&lt;/i&gt; . Overall, the limited amount of putative transmission observed indicates that current infection control and contact precautions are successful in preventing interpersonal exchange of microbes. However, the potential transmission of commensal microbes with immunomodulatory properties raises questions about the recovery of microbiome diversity after HCT, and indicates that patients in this setting may acquire new microbes by sharing space with others.&lt;/p&gt;","author":[{"family":"Siranosian","given":"Benjamin A."},{"family":"Brooks","given":"Erin"},{"family":"Andermann","given":"Tessa"},{"family":"Rezvani","given":"Andrew R."},{"family":"Banaei","given":"Niaz"},{"family":"Tang","given":"Hua"},{"family":"Bhatt","given":"Ami S."}],"authorYearDisplayFormat":false,"citation-label":"11345650","container-title":"BioRxiv","container-title-short":"BioRxiv","id":"11345650","invisible":false,"issued":{"date-parts":[["2021","3","13"]]},"journalAbbreviation":"BioRxiv","suppress-author":false,"title":"Rare transmission of commensal and pathogenic bacteria in the gut microbiome of hospitalized adults","type":"article-journal"}]</w:instrText>
      </w:r>
      <w:r w:rsidRPr="00AC26F8">
        <w:fldChar w:fldCharType="separate"/>
      </w:r>
      <w:r w:rsidR="00D42550" w:rsidRPr="00AC26F8">
        <w:t>(Siranosian et al., 2021)</w:t>
      </w:r>
      <w:r w:rsidRPr="00AC26F8">
        <w:fldChar w:fldCharType="end"/>
      </w:r>
      <w:r w:rsidRPr="00AC26F8">
        <w:t xml:space="preserve"> to assemble the contigs from short </w:t>
      </w:r>
      <w:r w:rsidRPr="00AC26F8">
        <w:lastRenderedPageBreak/>
        <w:t xml:space="preserve">reads using MEGAHIT </w:t>
      </w:r>
      <w:r w:rsidRPr="00AC26F8">
        <w:fldChar w:fldCharType="begin"/>
      </w:r>
      <w:r w:rsidR="00D42550" w:rsidRPr="00AC26F8">
        <w:instrText>ADDIN F1000_CSL_CITATION&lt;~#@#~&gt;[{"DOI":"10.1093/bioinformatics/btv033","First":false,"Last":false,"PMID":"25609793","abstract":"MEGAHIT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improvement.&lt;br&gt;&lt;br&gt;© The Author 2015. Published by Oxford University Press. All rights reserved. For Permissions, please e-mail: journals.permissions@oup.com.","author":[{"family":"Li","given":"Dinghua"},{"family":"Liu","given":"Chi-Man"},{"family":"Luo","given":"Ruibang"},{"family":"Sadakane","given":"Kunihiko"},{"family":"Lam","given":"Tak-Wah"}],"authorYearDisplayFormat":false,"citation-label":"2928511","container-title":"Bioinformatics","container-title-short":"Bioinformatics","id":"2928511","invisible":false,"issue":"10","issued":{"date-parts":[["2015","5","15"]]},"journalAbbreviation":"Bioinformatics","page":"1674-1676","suppress-author":false,"title":"MEGAHIT: an ultra-fast single-node solution for large and complex metagenomics assembly via succinct de Bruijn graph.","type":"article-journal","volume":"31"}]</w:instrText>
      </w:r>
      <w:r w:rsidRPr="00AC26F8">
        <w:fldChar w:fldCharType="separate"/>
      </w:r>
      <w:r w:rsidR="00D42550" w:rsidRPr="00AC26F8">
        <w:t>(Li et al., 2015)</w:t>
      </w:r>
      <w:r w:rsidRPr="00AC26F8">
        <w:fldChar w:fldCharType="end"/>
      </w:r>
      <w:r w:rsidRPr="00AC26F8">
        <w:t xml:space="preserve"> and then bin the contigs into Metagenome-assembled genomes (MAGs) using two different methods: Metabat2 </w:t>
      </w:r>
      <w:r w:rsidRPr="00AC26F8">
        <w:fldChar w:fldCharType="begin"/>
      </w:r>
      <w:r w:rsidR="00D42550" w:rsidRPr="00AC26F8">
        <w:instrText>ADDIN F1000_CSL_CITATION&lt;~#@#~&gt;[{"DOI":"10.7717/peerj.7359","First":false,"Last":false,"PMCID":"PMC6662567","PMID":"31388474","abstract":"We previously reported on MetaBAT, an automated metagenome binning software tool to reconstruct single genomes from microbial communities for subsequent analyses of uncultivated microbial species. MetaBAT has become one of the most popular binning tools largely due to its computational efficiency and ease of use, especially in binning experiments with a large number of samples and a large assembly. MetaBAT requires users to choose parameters to fine-tune its sensitivity and specificity. If those parameters are not chosen properly, binning accuracy can suffer, especially on assemblies of poor quality. Here, we developed MetaBAT 2 to overcome this problem. MetaBAT 2 uses a new adaptive binning algorithm to eliminate manual parameter tuning. We also performed extensive software engineering optimization to increase both computational and memory efficiency. Comparing MetaBAT 2 to alternative software tools on over 100 real world metagenome assemblies shows superior accuracy and computing speed. Binning a typical metagenome assembly takes only a few minutes on a single commodity workstation. We therefore recommend the community adopts MetaBAT 2 for their metagenome binning experiments. MetaBAT 2 is open source software and available at https://bitbucket.org/berkeleylab/metabat.","author":[{"family":"Kang","given":"Dongwan D"},{"family":"Li","given":"Feng"},{"family":"Kirton","given":"Edward"},{"family":"Thomas","given":"Ashleigh"},{"family":"Egan","given":"Rob"},{"family":"An","given":"Hong"},{"family":"Wang","given":"Zhong"}],"authorYearDisplayFormat":false,"citation-label":"7996543","container-title":"PeerJ","container-title-short":"PeerJ","id":"7996543","invisible":false,"issued":{"date-parts":[["2019","7","26"]]},"journalAbbreviation":"PeerJ","page":"e7359","suppress-author":false,"title":"MetaBAT 2: an adaptive binning algorithm for robust and efficient genome reconstruction from metagenome assemblies.","type":"article-journal","volume":"7"}]</w:instrText>
      </w:r>
      <w:r w:rsidRPr="00AC26F8">
        <w:fldChar w:fldCharType="separate"/>
      </w:r>
      <w:r w:rsidR="00D42550" w:rsidRPr="00AC26F8">
        <w:t>(Kang et al., 2019)</w:t>
      </w:r>
      <w:r w:rsidRPr="00AC26F8">
        <w:fldChar w:fldCharType="end"/>
      </w:r>
      <w:r w:rsidRPr="00AC26F8">
        <w:t xml:space="preserve"> and CONCOCT </w:t>
      </w:r>
      <w:r w:rsidRPr="00AC26F8">
        <w:fldChar w:fldCharType="begin"/>
      </w:r>
      <w:r w:rsidR="00D42550"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00D42550" w:rsidRPr="00AC26F8">
        <w:t>(Alneberg et al., 2014)</w:t>
      </w:r>
      <w:r w:rsidRPr="00AC26F8">
        <w:fldChar w:fldCharType="end"/>
      </w:r>
      <w:r w:rsidRPr="00AC26F8">
        <w:t xml:space="preserve">. The results were then aggregated to produce an optimized, non-redundant set of MAGs by DAS Tool </w:t>
      </w:r>
      <w:r w:rsidRPr="00AC26F8">
        <w:fldChar w:fldCharType="begin"/>
      </w:r>
      <w:r w:rsidR="00D42550" w:rsidRPr="00AC26F8">
        <w:instrText>ADDIN F1000_CSL_CITATION&lt;~#@#~&gt;[{"DOI":"10.1038/s41564-018-0171-1","First":false,"Last":false,"PMCID":"PMC6786971","PMID":"29807988","abstract":"Microbial communities are critical to ecosystem function. A key objective of metagenomic studies is to analyse organism-specific metabolic pathways and reconstruct community interaction networks. This requires accurate assignment of assembled genome fragments to genomes. Existing binning methods often fail to reconstruct a reasonable number of genomes and report many bins of low quality and completeness. Furthermore, the performance of existing algorithms varies between samples and biotopes. Here, we present a dereplication, aggregation and scoring strategy, DAS Tool, that combines the strengths of a flexible set of established binning algorithms. DAS Tool applied to a constructed community generated more accurate bins than any automated method. Indeed, when applied to environmental and host-associated samples of different complexity, DAS Tool recovered substantially more near-complete genomes, including previously unreported lineages, than any single binning method alone. The ability to reconstruct many near-complete genomes from metagenomics data will greatly advance genome-centric analyses of ecosystems.","author":[{"family":"Sieber","given":"Christian M K"},{"family":"Probst","given":"Alexander J"},{"family":"Sharrar","given":"Allison"},{"family":"Thomas","given":"Brian C"},{"family":"Hess","given":"Matthias"},{"family":"Tringe","given":"Susannah G"},{"family":"Banfield","given":"Jillian F"}],"authorYearDisplayFormat":false,"citation-label":"5334287","container-title":"Nature Microbiology","container-title-short":"Nat. Microbiol.","id":"5334287","invisible":false,"issue":"7","issued":{"date-parts":[["2018","7"]]},"journalAbbreviation":"Nat. Microbiol.","page":"836-843","suppress-author":false,"title":"Recovery of genomes from metagenomes via a dereplication, aggregation and scoring strategy.","type":"article-journal","volume":"3"}]</w:instrText>
      </w:r>
      <w:r w:rsidRPr="00AC26F8">
        <w:fldChar w:fldCharType="separate"/>
      </w:r>
      <w:r w:rsidR="00D42550" w:rsidRPr="00AC26F8">
        <w:t>(Sieber et al., 2018)</w:t>
      </w:r>
      <w:r w:rsidRPr="00AC26F8">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spp. </w:t>
      </w:r>
      <w:r w:rsidRPr="00AC26F8">
        <w:t xml:space="preserve">by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xml:space="preserve"> were analyzed by iRep. The iRep value of a MAG represents the average number of replication events over different subpopulations of the MAG weighted by their relative abundances.</w:t>
      </w:r>
    </w:p>
    <w:p w14:paraId="015A5332" w14:textId="77777777" w:rsidR="00770908" w:rsidRPr="00AC26F8" w:rsidRDefault="00770908" w:rsidP="00A00A4E"/>
    <w:p w14:paraId="01365ECA" w14:textId="77777777" w:rsidR="00770908" w:rsidRPr="00AC26F8" w:rsidRDefault="00770908" w:rsidP="00A00A4E">
      <w:pPr>
        <w:rPr>
          <w:b/>
        </w:rPr>
      </w:pPr>
      <w:r w:rsidRPr="00AC26F8">
        <w:rPr>
          <w:b/>
        </w:rPr>
        <w:t>Statistical analysis</w:t>
      </w:r>
    </w:p>
    <w:p w14:paraId="1DDF12A6" w14:textId="5BC4FA22" w:rsidR="00770908" w:rsidRPr="00AC26F8" w:rsidRDefault="00BB7A98" w:rsidP="00A00A4E">
      <w:r w:rsidRPr="00AC26F8">
        <w:t>P</w:t>
      </w:r>
      <w:r w:rsidR="00770908" w:rsidRPr="00AC26F8">
        <w:t>airwise Kruskal-</w:t>
      </w:r>
      <w:proofErr w:type="gramStart"/>
      <w:r w:rsidR="00770908" w:rsidRPr="00AC26F8">
        <w:t>Wallis</w:t>
      </w:r>
      <w:proofErr w:type="gramEnd"/>
      <w:r w:rsidR="00770908" w:rsidRPr="00AC26F8">
        <w:t xml:space="preserve"> test was used exclusively for multiple comparisons. The raw </w:t>
      </w:r>
      <w:r w:rsidR="00770908" w:rsidRPr="00AC26F8">
        <w:rPr>
          <w:i/>
        </w:rPr>
        <w:t>P</w:t>
      </w:r>
      <w:r w:rsidR="00770908" w:rsidRPr="00AC26F8">
        <w:t xml:space="preserve">-values were adjusted for multiple testing using Benjamini-Hochberg correction to control the FDR and associations with post-correction </w:t>
      </w:r>
      <w:r w:rsidR="00770908" w:rsidRPr="00AC26F8">
        <w:rPr>
          <w:i/>
        </w:rPr>
        <w:t>P</w:t>
      </w:r>
      <w:r w:rsidR="00770908" w:rsidRPr="00AC26F8">
        <w:t xml:space="preserve">&lt;0.05 were considered significant. When different stratified fecal sample groups are compared for their oral bacteria fractions, we replaced values less than 0.034 with 0.034 in the test. This is because comparing oral bacteria fractions below this threshold is meaningless for detecting significant differences in the total bacterial density between the groups (see </w:t>
      </w:r>
      <w:r w:rsidR="00770908" w:rsidRPr="00AC26F8">
        <w:rPr>
          <w:b/>
          <w:bCs/>
        </w:rPr>
        <w:t>Fig. 3D</w:t>
      </w:r>
      <w:r w:rsidR="00770908" w:rsidRPr="00AC26F8">
        <w:t xml:space="preserve"> in the main text). The </w:t>
      </w:r>
      <w:proofErr w:type="gramStart"/>
      <w:r w:rsidR="00770908" w:rsidRPr="00AC26F8">
        <w:t>Student’s</w:t>
      </w:r>
      <w:proofErr w:type="gramEnd"/>
      <w:r w:rsidR="00770908" w:rsidRPr="00AC26F8">
        <w:t xml:space="preserve"> t-test was used to assess the significance of slopes of linear fits in the scatter plots between bacterial relative abundance and total bacterial or microbiome density. </w:t>
      </w:r>
    </w:p>
    <w:p w14:paraId="78E7BB1A" w14:textId="77777777" w:rsidR="00BB7A98" w:rsidRPr="00AC26F8" w:rsidRDefault="00770908" w:rsidP="00A00A4E">
      <w:pPr>
        <w:ind w:firstLine="720"/>
      </w:pPr>
      <w:r w:rsidRPr="00AC26F8">
        <w:t>We used the Cox’s time-varying proportional hazard model to regress fecal dominations of oral bacteria (relative abundance</w:t>
      </w:r>
      <m:oMath>
        <m:r>
          <w:rPr>
            <w:rFonts w:ascii="Cambria Math" w:hAnsi="Cambria Math"/>
          </w:rPr>
          <m:t>≥</m:t>
        </m:r>
      </m:oMath>
      <w:r w:rsidRPr="00AC26F8">
        <w:t xml:space="preserve">30%) as a microbial endpoint of interest against antibiotic administration (aminoglycosides, aztreonam, piperacillin/tazobactam, linezolid, sulfamethoxazole/trimethoprim, cephalosporins, oral vancomycin, intravenous vancomycin, amoxicillin clavulanate, quinolones, metronidazole, doxycycline, clindamycin, macrolide derivatives, carbapenems, tigecycline, other antibiotics) as multivariable predictors. Although the enrichment of oral species in gut microbiome has been linked to liver cirrhosis </w:t>
      </w:r>
      <w:r w:rsidRPr="00AC26F8">
        <w:fldChar w:fldCharType="begin"/>
      </w:r>
      <w:r w:rsidR="00D42550" w:rsidRPr="00AC26F8">
        <w:instrText>ADDIN F1000_CSL_CITATION&lt;~#@#~&gt;[{"DOI":"10.1186/s40168-017-0359-2","First":false,"Last":false,"PMCID":"PMC5645934","PMID":"29041989","author":[{"family":"Dubinkina","given":"Veronika B"},{"family":"Tyakht","given":"Alexander V"},{"family":"Odintsova","given":"Vera Y"},{"family":"Yarygin","given":"Konstantin S"},{"family":"Kovarsky","given":"Boris A"},{"family":"Pavlenko","given":"Alexander V"},{"family":"Ischenko","given":"Dmitry S"},{"family":"Popenko","given":"Anna S"},{"family":"Alexeev","given":"Dmitry G"},{"family":"Taraskina","given":"Anastasiya Y"},{"family":"Nasyrova","given":"Regina F"},{"family":"Krupitsky","given":"Evgeny M"},{"family":"Shalikiani","given":"Nino V"},{"family":"Bakulin","given":"Igor G"},{"family":"Shcherbakov","given":"Petr L"},{"family":"Skorodumova","given":"Lyubov O"},{"family":"Larin","given":"Andrei K"},{"family":"Kostryukova","given":"Elena S"},{"family":"Abdulkhakov","given":"Rustam A"},{"family":"Abdulkhakov","given":"Sayar R"},{"family":"Malanin","given":"Sergey Y"},{"family":"Ismagilova","given":"Ruzilya K"},{"family":"Grigoryeva","given":"Tatiana V"},{"family":"Ilina","given":"Elena N"},{"family":"Govorun","given":"Vadim M"}],"authorYearDisplayFormat":false,"citation-label":"4402640","container-title":"Microbiome","container-title-short":"Microbiome","id":"4402640","invisible":false,"issue":"1","issued":{"date-parts":[["2017","10","17"]]},"journalAbbreviation":"Microbiome","page":"141","suppress-author":false,"title":"Links of gut microbiota composition with alcohol dependence syndrome and alcoholic liver disease.","type":"article-journal","volume":"5"},{"DOI":"10.1038/nature13568","First":false,"Last":false,"PMID":"25079328","abstract":"Liver cirrhosis occurs as a consequence of many chronic liver diseases that are prevalent worldwide. Here we characterize the gut microbiome in liver cirrhosis by comparing 98 patients and 83 healthy control individuals. We build a reference gene set for the cohort containing 2.69 million genes, 36.1% of which are novel. Quantitative metagenomics reveals 75,245 genes that differ in abundance between the patients and healthy individuals (false discovery rate &lt;  0.0001) and can be grouped into 66 clusters representing cognate bacterial species; 28 are enriched in patients and 38 in control individuals. Most (54%) of the patient-enriched, taxonomically assigned species are of buccal origin, suggesting an invasion of the gut from the mouth in liver cirrhosis. Biomarkers specific to liver cirrhosis at gene and function levels are revealed by a comparison with those for type 2 diabetes and inflammatory bowel disease. On the basis of only 15 biomarkers, a highly accurate patient discrimination index is created and validated on an independent cohort. Thus microbiota-targeted biomarkers may be a powerful tool for diagnosis of different diseases. ","author":[{"family":"Qin","given":"Nan"},{"family":"Yang","given":"Fengling"},{"family":"Li","given":"Ang"},{"family":"Prifti","given":"Edi"},{"family":"Chen","given":"Yanfei"},{"family":"Shao","given":"Li"},{"family":"Guo","given":"Jing"},{"family":"Le Chatelier","given":"Emmanuelle"},{"family":"Yao","given":"Jian"},{"family":"Wu","given":"Lingjiao"},{"family":"Zhou","given":"Jiawei"},{"family":"Ni","given":"Shujun"},{"family":"Liu","given":"Lin"},{"family":"Pons","given":"Nicolas"},{"family":"Batto","given":"Jean Michel"},{"family":"Kennedy","given":"Sean P"},{"family":"Leonard","given":"Pierre"},{"family":"Yuan","given":"Chunhui"},{"family":"Ding","given":"Wenchao"},{"family":"Chen","given":"Yuanting"},{"family":"Hu","given":"Xinjun"},{"family":"Zheng","given":"Beiwen"},{"family":"Qian","given":"Guirong"},{"family":"Xu","given":"Wei"},{"family":"Ehrlich","given":"S Dusko"},{"family":"Zheng","given":"Shusen"},{"family":"Li","given":"Lanjuan"}],"authorYearDisplayFormat":false,"citation-label":"1004283","container-title":"Nature","container-title-short":"Nature","id":"1004283","invisible":false,"issue":"7516","issued":{"date-parts":[["2014","9","4"]]},"journalAbbreviation":"Nature","page":"59-64","suppress-author":false,"title":"Alterations of the human gut microbiome in liver cirrhosis.","type":"article-journal","volume":"513"}]</w:instrText>
      </w:r>
      <w:r w:rsidRPr="00AC26F8">
        <w:fldChar w:fldCharType="separate"/>
      </w:r>
      <w:r w:rsidR="00D42550" w:rsidRPr="00AC26F8">
        <w:t>(Dubinkina et al., 2017; Qin et al., 2014)</w:t>
      </w:r>
      <w:r w:rsidRPr="00AC26F8">
        <w:fldChar w:fldCharType="end"/>
      </w:r>
      <w:r w:rsidRPr="00AC26F8">
        <w:t xml:space="preserve">, liver dysfunction such as altered bile acid secretion is less likely a causal factor for allo-HCT patients since the collateral damage on liver caused by the pretransplant regimen is not as severe and patients with severe liver disease would not undergo transplantation. Next, we again examined domination of oral bacteria in fecal samples, this time as a univariable predictor of </w:t>
      </w:r>
      <w:r w:rsidRPr="00AC26F8">
        <w:rPr>
          <w:i/>
        </w:rPr>
        <w:t>Enterococcus</w:t>
      </w:r>
      <w:r w:rsidRPr="00AC26F8">
        <w:t xml:space="preserve"> infection using the same time-varying Cox’s hazard model. Penalty was not added for all Cox hazard calculations. The oral domination states in missing samples were imputed as the same as their nearest preceding samples within 4 days</w:t>
      </w:r>
      <w:r w:rsidR="008A1577" w:rsidRPr="00AC26F8">
        <w:t xml:space="preserve"> </w:t>
      </w:r>
      <w:r w:rsidRPr="00AC26F8">
        <w:t xml:space="preserve">and assumed false if their nearest preceding samples are 5 or more days earlier. For survival analysis of mortality, we looked at the most common likely origin of fecal samples collected between day 0 and engraftment, as the exposure. Outcome analysis started at engraftment. To compare overall survival Kaplan-Meier curves were plotted and between-group </w:t>
      </w:r>
      <w:r w:rsidRPr="00AC26F8">
        <w:rPr>
          <w:i/>
          <w:iCs/>
        </w:rPr>
        <w:t>P</w:t>
      </w:r>
      <w:r w:rsidRPr="00AC26F8">
        <w:t>-values were calculated using Wald test.</w:t>
      </w:r>
    </w:p>
    <w:p w14:paraId="279225BE" w14:textId="3E44E69E" w:rsidR="00BB7A98" w:rsidRPr="00AC26F8" w:rsidRDefault="00BB7A98" w:rsidP="00A00A4E">
      <w:pPr>
        <w:ind w:firstLine="720"/>
      </w:pPr>
      <w:r w:rsidRPr="00AC26F8">
        <w:t xml:space="preserve">All statistical analyses were performed using Python v3.7.9. Information on the statistical tests and simulations can be found in the figure legends and in the corresponding Method Details. </w:t>
      </w:r>
    </w:p>
    <w:p w14:paraId="2683F921" w14:textId="2CBEB840" w:rsidR="00770908" w:rsidRPr="00AC26F8" w:rsidRDefault="00770908" w:rsidP="00A00A4E">
      <w:pPr>
        <w:ind w:firstLine="720"/>
      </w:pPr>
    </w:p>
    <w:p w14:paraId="5B31379E" w14:textId="77777777" w:rsidR="000134A7" w:rsidRPr="00AC26F8" w:rsidRDefault="000134A7" w:rsidP="00A00A4E">
      <w:pPr>
        <w:pStyle w:val="Refhead"/>
      </w:pPr>
      <w:r w:rsidRPr="00AC26F8">
        <w:br w:type="page"/>
      </w:r>
    </w:p>
    <w:p w14:paraId="3E6DC961" w14:textId="1D8A3C1F" w:rsidR="00B3451F" w:rsidRPr="00AC26F8" w:rsidRDefault="00B3451F" w:rsidP="00A00A4E">
      <w:pPr>
        <w:pStyle w:val="Refhead"/>
      </w:pPr>
      <w:r w:rsidRPr="00AC26F8">
        <w:lastRenderedPageBreak/>
        <w:t>REFERENCES</w:t>
      </w:r>
    </w:p>
    <w:p w14:paraId="1A4A2176" w14:textId="77777777" w:rsidR="005D4EDE" w:rsidRPr="00AC26F8" w:rsidRDefault="005D4EDE" w:rsidP="00A00A4E">
      <w:pPr>
        <w:widowControl w:val="0"/>
        <w:autoSpaceDE w:val="0"/>
        <w:autoSpaceDN w:val="0"/>
        <w:adjustRightInd w:val="0"/>
        <w:rPr>
          <w:noProof/>
        </w:rPr>
      </w:pPr>
    </w:p>
    <w:p w14:paraId="28F27800" w14:textId="77777777" w:rsidR="005D4EDE" w:rsidRPr="00AC26F8" w:rsidRDefault="005D4EDE" w:rsidP="00A00A4E">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A00A4E">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A00A4E">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A00A4E">
      <w:pPr>
        <w:widowControl w:val="0"/>
        <w:autoSpaceDE w:val="0"/>
        <w:autoSpaceDN w:val="0"/>
        <w:adjustRightInd w:val="0"/>
        <w:rPr>
          <w:noProof/>
        </w:rPr>
      </w:pPr>
      <w:r w:rsidRPr="00AC26F8">
        <w:rPr>
          <w:noProof/>
        </w:rPr>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A00A4E">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A00A4E">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A00A4E">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A00A4E">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A00A4E">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A00A4E">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A00A4E">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A00A4E">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A00A4E">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A00A4E">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A00A4E">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A00A4E">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A00A4E">
      <w:pPr>
        <w:widowControl w:val="0"/>
        <w:autoSpaceDE w:val="0"/>
        <w:autoSpaceDN w:val="0"/>
        <w:adjustRightInd w:val="0"/>
        <w:rPr>
          <w:noProof/>
        </w:rPr>
      </w:pPr>
      <w:r w:rsidRPr="00AC26F8">
        <w:rPr>
          <w:noProof/>
        </w:rPr>
        <w:lastRenderedPageBreak/>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A00A4E">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A00A4E">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A00A4E">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A00A4E">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A00A4E">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assemblies. PeerJ </w:t>
      </w:r>
      <w:r w:rsidRPr="00AC26F8">
        <w:rPr>
          <w:i/>
          <w:iCs/>
          <w:noProof/>
        </w:rPr>
        <w:t>7</w:t>
      </w:r>
      <w:r w:rsidRPr="00AC26F8">
        <w:rPr>
          <w:noProof/>
        </w:rPr>
        <w:t>, e7359.</w:t>
      </w:r>
    </w:p>
    <w:p w14:paraId="31D365FB" w14:textId="77777777" w:rsidR="005D4EDE" w:rsidRPr="00AC26F8" w:rsidRDefault="005D4EDE" w:rsidP="00A00A4E">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A00A4E">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A00A4E">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A00A4E">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A00A4E">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A00A4E">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A00A4E">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A00A4E">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A00A4E">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A00A4E">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A00A4E">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A00A4E">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A00A4E">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w:t>
      </w:r>
      <w:r w:rsidRPr="00AC26F8">
        <w:rPr>
          <w:noProof/>
        </w:rPr>
        <w:lastRenderedPageBreak/>
        <w:t xml:space="preserve">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A00A4E">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A00A4E">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A00A4E">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A00A4E">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A00A4E">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A00A4E">
      <w:pPr>
        <w:widowControl w:val="0"/>
        <w:autoSpaceDE w:val="0"/>
        <w:autoSpaceDN w:val="0"/>
        <w:adjustRightInd w:val="0"/>
        <w:rPr>
          <w:noProof/>
        </w:rPr>
      </w:pPr>
      <w:r w:rsidRPr="00AC26F8">
        <w:rPr>
          <w:noProof/>
        </w:rPr>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A00A4E">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A00A4E">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A00A4E">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A00A4E">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A00A4E">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A00A4E">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A00A4E">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A00A4E">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A00A4E">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A00A4E">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A00A4E">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A00A4E">
      <w:pPr>
        <w:widowControl w:val="0"/>
        <w:autoSpaceDE w:val="0"/>
        <w:autoSpaceDN w:val="0"/>
        <w:adjustRightInd w:val="0"/>
        <w:rPr>
          <w:noProof/>
        </w:rPr>
      </w:pPr>
      <w:r w:rsidRPr="00AC26F8">
        <w:rPr>
          <w:noProof/>
        </w:rPr>
        <w:lastRenderedPageBreak/>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A00A4E">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A00A4E">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A00A4E">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A00A4E">
      <w:pPr>
        <w:widowControl w:val="0"/>
        <w:autoSpaceDE w:val="0"/>
        <w:autoSpaceDN w:val="0"/>
        <w:adjustRightInd w:val="0"/>
        <w:rPr>
          <w:noProof/>
        </w:rPr>
      </w:pPr>
      <w:r w:rsidRPr="00AC26F8">
        <w:rPr>
          <w:noProof/>
        </w:rPr>
        <w:t xml:space="preserve">Tang, T.W.H., Chen, H.-C., Chen, C.-Y., Yen, C.Y.T., Lin, C.-J., Prajnamitra, R.P., Chen, L.-L., 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A00A4E">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A00A4E">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A00A4E">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A00A4E">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A00A4E">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A00A4E">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A00A4E">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A00A4E">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A00A4E">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A00A4E">
      <w:pPr>
        <w:rPr>
          <w:noProof/>
        </w:rPr>
      </w:pPr>
    </w:p>
    <w:p w14:paraId="387C783F" w14:textId="77777777" w:rsidR="00117A37" w:rsidRPr="00117A37" w:rsidRDefault="00686725" w:rsidP="00117A37">
      <w:pPr>
        <w:pStyle w:val="EndNoteBibliography"/>
        <w:rPr>
          <w:noProof/>
        </w:rPr>
      </w:pPr>
      <w:r w:rsidRPr="00AC26F8">
        <w:fldChar w:fldCharType="begin"/>
      </w:r>
      <w:r w:rsidRPr="00AC26F8">
        <w:instrText xml:space="preserve"> ADDIN EN.REFLIST </w:instrText>
      </w:r>
      <w:r w:rsidRPr="00AC26F8">
        <w:fldChar w:fldCharType="separate"/>
      </w:r>
      <w:r w:rsidR="00117A37" w:rsidRPr="00117A37">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117A37" w:rsidRPr="00117A37">
        <w:rPr>
          <w:i/>
          <w:noProof/>
        </w:rPr>
        <w:t>10</w:t>
      </w:r>
      <w:r w:rsidR="00117A37" w:rsidRPr="00117A37">
        <w:rPr>
          <w:noProof/>
        </w:rPr>
        <w:t>, 400.</w:t>
      </w:r>
    </w:p>
    <w:p w14:paraId="3A2F9047" w14:textId="77777777" w:rsidR="00117A37" w:rsidRPr="00117A37" w:rsidRDefault="00117A37" w:rsidP="00117A37">
      <w:pPr>
        <w:pStyle w:val="EndNoteBibliography"/>
        <w:rPr>
          <w:noProof/>
        </w:rPr>
      </w:pPr>
      <w:r w:rsidRPr="00117A37">
        <w:rPr>
          <w:noProof/>
        </w:rPr>
        <w:lastRenderedPageBreak/>
        <w:t xml:space="preserve">Atarashi, K., Suda, W., Luo, C., Kawaguchi, T., Motoo, I., Narushima, S., Kiguchi, Y., Yasuma, K., Watanabe, E., and Tanoue, T. (2017). Ectopic colonization of oral bacteria in the intestine drives TH1 cell induction and inflammation. Science </w:t>
      </w:r>
      <w:r w:rsidRPr="00117A37">
        <w:rPr>
          <w:i/>
          <w:noProof/>
        </w:rPr>
        <w:t>358</w:t>
      </w:r>
      <w:r w:rsidRPr="00117A37">
        <w:rPr>
          <w:noProof/>
        </w:rPr>
        <w:t>, 359-365.</w:t>
      </w:r>
    </w:p>
    <w:p w14:paraId="298218CF" w14:textId="77777777" w:rsidR="00117A37" w:rsidRPr="00117A37" w:rsidRDefault="00117A37" w:rsidP="00117A37">
      <w:pPr>
        <w:pStyle w:val="EndNoteBibliography"/>
        <w:rPr>
          <w:noProof/>
        </w:rPr>
      </w:pPr>
      <w:r w:rsidRPr="00117A37">
        <w:rPr>
          <w:noProof/>
        </w:rPr>
        <w:t xml:space="preserve">Coker, O.O., Dai, Z., Nie, Y., Zhao, G., Cao, L., Nakatsu, G., Wu, W.K., Wong, S.H., Chen, Z., and Sung, J.J. (2018). Mucosal microbiome dysbiosis in gastric carcinogenesis. Gut </w:t>
      </w:r>
      <w:r w:rsidRPr="00117A37">
        <w:rPr>
          <w:i/>
          <w:noProof/>
        </w:rPr>
        <w:t>67</w:t>
      </w:r>
      <w:r w:rsidRPr="00117A37">
        <w:rPr>
          <w:noProof/>
        </w:rPr>
        <w:t>, 1024-1032.</w:t>
      </w:r>
    </w:p>
    <w:p w14:paraId="08318998" w14:textId="77777777" w:rsidR="00117A37" w:rsidRPr="00117A37" w:rsidRDefault="00117A37" w:rsidP="00117A37">
      <w:pPr>
        <w:pStyle w:val="EndNoteBibliography"/>
        <w:rPr>
          <w:noProof/>
        </w:rPr>
      </w:pPr>
      <w:r w:rsidRPr="00117A37">
        <w:rPr>
          <w:noProof/>
        </w:rPr>
        <w:t xml:space="preserve">Contijoch, E.J., Britton, G.J., Yang, C., Mogno, I., Li, Z., Ng, R., Llewellyn, S.R., Hira, S., Johnson, C., and Rabinowitz, K.M. (2019). Gut microbiota density influences host physiology and is shaped by host and microbial factors. Elife </w:t>
      </w:r>
      <w:r w:rsidRPr="00117A37">
        <w:rPr>
          <w:i/>
          <w:noProof/>
        </w:rPr>
        <w:t>8</w:t>
      </w:r>
      <w:r w:rsidRPr="00117A37">
        <w:rPr>
          <w:noProof/>
        </w:rPr>
        <w:t>.</w:t>
      </w:r>
    </w:p>
    <w:p w14:paraId="71A972EC" w14:textId="77777777" w:rsidR="00117A37" w:rsidRPr="00117A37" w:rsidRDefault="00117A37" w:rsidP="00117A37">
      <w:pPr>
        <w:pStyle w:val="EndNoteBibliography"/>
        <w:rPr>
          <w:noProof/>
        </w:rPr>
      </w:pPr>
      <w:r w:rsidRPr="00117A37">
        <w:rPr>
          <w:noProof/>
        </w:rPr>
        <w:t xml:space="preserve">Costello, E.K., Lauber, C.L., Hamady, M., Fierer, N., Gordon, J.I., and Knight, R. (2009). Bacterial community variation in human body habitats across space and time. science </w:t>
      </w:r>
      <w:r w:rsidRPr="00117A37">
        <w:rPr>
          <w:i/>
          <w:noProof/>
        </w:rPr>
        <w:t>326</w:t>
      </w:r>
      <w:r w:rsidRPr="00117A37">
        <w:rPr>
          <w:noProof/>
        </w:rPr>
        <w:t>, 1694-1697.</w:t>
      </w:r>
    </w:p>
    <w:p w14:paraId="597E367C" w14:textId="77777777" w:rsidR="00117A37" w:rsidRPr="00117A37" w:rsidRDefault="00117A37" w:rsidP="00117A37">
      <w:pPr>
        <w:pStyle w:val="EndNoteBibliography"/>
        <w:rPr>
          <w:noProof/>
        </w:rPr>
      </w:pPr>
      <w:r w:rsidRPr="00117A37">
        <w:rPr>
          <w:noProof/>
        </w:rPr>
        <w:t xml:space="preserve">Gevers, D., Kugathasan, S., Denson, L.A., Vázquez-Baeza, Y., Van Treuren, W., Ren, B., Schwager, E., Knights, D., Song, S.J., and Yassour, M. (2014). The treatment-naive microbiome in new-onset Crohn’s disease. Cell host &amp; microbe </w:t>
      </w:r>
      <w:r w:rsidRPr="00117A37">
        <w:rPr>
          <w:i/>
          <w:noProof/>
        </w:rPr>
        <w:t>15</w:t>
      </w:r>
      <w:r w:rsidRPr="00117A37">
        <w:rPr>
          <w:noProof/>
        </w:rPr>
        <w:t>, 382-392.</w:t>
      </w:r>
    </w:p>
    <w:p w14:paraId="7E80B214" w14:textId="77777777" w:rsidR="00117A37" w:rsidRPr="00117A37" w:rsidRDefault="00117A37" w:rsidP="00117A37">
      <w:pPr>
        <w:pStyle w:val="EndNoteBibliography"/>
        <w:rPr>
          <w:noProof/>
        </w:rPr>
      </w:pPr>
      <w:r w:rsidRPr="00117A37">
        <w:rPr>
          <w:noProof/>
        </w:rPr>
        <w:t>Greenberg, J.M., Romero, R., Winters, A.D., Galaz, J., Garcia-Flores, V., Arenas-Hernandez, M., Panzer, J., Shaffer, Z., Kracht, D.J., and Gomez-Lopez, N. (2022). Microbiota of the pregnant mouse: characterization of the bacterial communities in the oral cavity, lung, intestine, and vagina through culture and DNA sequencing. bioRxiv.</w:t>
      </w:r>
    </w:p>
    <w:p w14:paraId="719D909A" w14:textId="77777777" w:rsidR="00117A37" w:rsidRPr="00117A37" w:rsidRDefault="00117A37" w:rsidP="00117A37">
      <w:pPr>
        <w:pStyle w:val="EndNoteBibliography"/>
        <w:rPr>
          <w:noProof/>
        </w:rPr>
      </w:pPr>
      <w:r w:rsidRPr="00117A37">
        <w:rPr>
          <w:noProof/>
        </w:rPr>
        <w:t xml:space="preserve">Hu, Y., Amir, A., Huang, X., Li, Y., Huang, S., Wolfe, E., Weiss, S., Knight, R., and Xu, Z.Z. (2022). Diurnal and eating-associated microbial patterns revealed via high-frequency saliva sampling. Genome Research </w:t>
      </w:r>
      <w:r w:rsidRPr="00117A37">
        <w:rPr>
          <w:i/>
          <w:noProof/>
        </w:rPr>
        <w:t>32</w:t>
      </w:r>
      <w:r w:rsidRPr="00117A37">
        <w:rPr>
          <w:noProof/>
        </w:rPr>
        <w:t>, 1112-1123.</w:t>
      </w:r>
    </w:p>
    <w:p w14:paraId="23516587" w14:textId="77777777" w:rsidR="00117A37" w:rsidRPr="00117A37" w:rsidRDefault="00117A37" w:rsidP="00117A37">
      <w:pPr>
        <w:pStyle w:val="EndNoteBibliography"/>
        <w:rPr>
          <w:noProof/>
        </w:rPr>
      </w:pPr>
      <w:r w:rsidRPr="00117A37">
        <w:rPr>
          <w:noProof/>
        </w:rPr>
        <w:t xml:space="preserve">Imai, J., Ichikawa, H., Kitamoto, S., Golob, J.L., Kaneko, M., Nagata, J., Takahashi, M., Gillilland III, M.G., Tanaka, R., and Nagao-Kitamoto, H. (2021). A potential pathogenic association between periodontal disease and Crohn’s disease. JCI insight </w:t>
      </w:r>
      <w:r w:rsidRPr="00117A37">
        <w:rPr>
          <w:i/>
          <w:noProof/>
        </w:rPr>
        <w:t>6</w:t>
      </w:r>
      <w:r w:rsidRPr="00117A37">
        <w:rPr>
          <w:noProof/>
        </w:rPr>
        <w:t>.</w:t>
      </w:r>
    </w:p>
    <w:p w14:paraId="5BF6CC65" w14:textId="77777777" w:rsidR="00117A37" w:rsidRPr="00117A37" w:rsidRDefault="00117A37" w:rsidP="00117A37">
      <w:pPr>
        <w:pStyle w:val="EndNoteBibliography"/>
        <w:rPr>
          <w:noProof/>
        </w:rPr>
      </w:pPr>
      <w:r w:rsidRPr="00117A37">
        <w:rPr>
          <w:noProof/>
        </w:rPr>
        <w:t xml:space="preserve">Jian, C., Luukkonen, P., Yki-Järvinen, H., Salonen, A., and Korpela, K. (2020). Quantitative PCR provides a simple and accessible method for quantitative microbiota profiling. PloS one </w:t>
      </w:r>
      <w:r w:rsidRPr="00117A37">
        <w:rPr>
          <w:i/>
          <w:noProof/>
        </w:rPr>
        <w:t>15</w:t>
      </w:r>
      <w:r w:rsidRPr="00117A37">
        <w:rPr>
          <w:noProof/>
        </w:rPr>
        <w:t>, e0227285.</w:t>
      </w:r>
    </w:p>
    <w:p w14:paraId="7A8E2617" w14:textId="77777777" w:rsidR="00117A37" w:rsidRPr="00117A37" w:rsidRDefault="00117A37" w:rsidP="00117A37">
      <w:pPr>
        <w:pStyle w:val="EndNoteBibliography"/>
        <w:rPr>
          <w:noProof/>
        </w:rPr>
      </w:pPr>
      <w:r w:rsidRPr="00117A37">
        <w:rPr>
          <w:noProof/>
        </w:rPr>
        <w:t xml:space="preserve">Jin, S., Wetzel, D., and Schirmer, M. (2022). Deciphering mechanisms and implications of bacterial translocation in human health and disease. Current Opinion in Microbiology </w:t>
      </w:r>
      <w:r w:rsidRPr="00117A37">
        <w:rPr>
          <w:i/>
          <w:noProof/>
        </w:rPr>
        <w:t>67</w:t>
      </w:r>
      <w:r w:rsidRPr="00117A37">
        <w:rPr>
          <w:noProof/>
        </w:rPr>
        <w:t>, 102147.</w:t>
      </w:r>
    </w:p>
    <w:p w14:paraId="32C91B16" w14:textId="77777777" w:rsidR="00117A37" w:rsidRPr="00117A37" w:rsidRDefault="00117A37" w:rsidP="00117A37">
      <w:pPr>
        <w:pStyle w:val="EndNoteBibliography"/>
        <w:rPr>
          <w:noProof/>
        </w:rPr>
      </w:pPr>
      <w:r w:rsidRPr="00117A37">
        <w:rPr>
          <w:noProof/>
        </w:rPr>
        <w:t xml:space="preserve">Joseph, S., Aduse-Opoku, J., Hashim, A., Hanski, E., Streich, R., Knowles, S.C., Pedersen, A.B., Wade, W.G., and Curtis, M.A. (2021). A 16S rRNA gene and draft genome database for the murine oral bacterial community. Msystems </w:t>
      </w:r>
      <w:r w:rsidRPr="00117A37">
        <w:rPr>
          <w:i/>
          <w:noProof/>
        </w:rPr>
        <w:t>6</w:t>
      </w:r>
      <w:r w:rsidRPr="00117A37">
        <w:rPr>
          <w:noProof/>
        </w:rPr>
        <w:t>, e01222-01220.</w:t>
      </w:r>
    </w:p>
    <w:p w14:paraId="7C1C4360" w14:textId="77777777" w:rsidR="00117A37" w:rsidRPr="00117A37" w:rsidRDefault="00117A37" w:rsidP="00117A37">
      <w:pPr>
        <w:pStyle w:val="EndNoteBibliography"/>
        <w:rPr>
          <w:noProof/>
        </w:rPr>
      </w:pPr>
      <w:r w:rsidRPr="00117A37">
        <w:rPr>
          <w:noProof/>
        </w:rPr>
        <w:t xml:space="preserve">Kitamoto, S., Nagao-Kitamoto, H., Hein, R., Schmidt, T., and Kamada, N. (2020). The bacterial connection between the oral cavity and the gut diseases. Journal of dental research </w:t>
      </w:r>
      <w:r w:rsidRPr="00117A37">
        <w:rPr>
          <w:i/>
          <w:noProof/>
        </w:rPr>
        <w:t>99</w:t>
      </w:r>
      <w:r w:rsidRPr="00117A37">
        <w:rPr>
          <w:noProof/>
        </w:rPr>
        <w:t>, 1021-1029.</w:t>
      </w:r>
    </w:p>
    <w:p w14:paraId="79A750AE" w14:textId="77777777" w:rsidR="00117A37" w:rsidRPr="00117A37" w:rsidRDefault="00117A37" w:rsidP="00117A37">
      <w:pPr>
        <w:pStyle w:val="EndNoteBibliography"/>
        <w:rPr>
          <w:noProof/>
        </w:rPr>
      </w:pPr>
      <w:r w:rsidRPr="00117A37">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117A37">
        <w:rPr>
          <w:i/>
          <w:noProof/>
        </w:rPr>
        <w:t>68</w:t>
      </w:r>
      <w:r w:rsidRPr="00117A37">
        <w:rPr>
          <w:noProof/>
        </w:rPr>
        <w:t>, 1335-1337.</w:t>
      </w:r>
    </w:p>
    <w:p w14:paraId="60A7D7C0" w14:textId="77777777" w:rsidR="00117A37" w:rsidRPr="00117A37" w:rsidRDefault="00117A37" w:rsidP="00117A37">
      <w:pPr>
        <w:pStyle w:val="EndNoteBibliography"/>
        <w:rPr>
          <w:noProof/>
        </w:rPr>
      </w:pPr>
      <w:r w:rsidRPr="00117A37">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117A37">
        <w:rPr>
          <w:i/>
          <w:noProof/>
        </w:rPr>
        <w:t>14</w:t>
      </w:r>
      <w:r w:rsidRPr="00117A37">
        <w:rPr>
          <w:noProof/>
        </w:rPr>
        <w:t>, 207-215.</w:t>
      </w:r>
    </w:p>
    <w:p w14:paraId="2F0A394F" w14:textId="77777777" w:rsidR="00117A37" w:rsidRPr="00117A37" w:rsidRDefault="00117A37" w:rsidP="00117A37">
      <w:pPr>
        <w:pStyle w:val="EndNoteBibliography"/>
        <w:rPr>
          <w:noProof/>
        </w:rPr>
      </w:pPr>
      <w:r w:rsidRPr="00117A37">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117A37">
        <w:rPr>
          <w:i/>
          <w:noProof/>
        </w:rPr>
        <w:t>1</w:t>
      </w:r>
      <w:r w:rsidRPr="00117A37">
        <w:rPr>
          <w:noProof/>
        </w:rPr>
        <w:t>, 1-15.</w:t>
      </w:r>
    </w:p>
    <w:p w14:paraId="229B7F8C" w14:textId="77777777" w:rsidR="00117A37" w:rsidRPr="00117A37" w:rsidRDefault="00117A37" w:rsidP="00117A37">
      <w:pPr>
        <w:pStyle w:val="EndNoteBibliography"/>
        <w:rPr>
          <w:noProof/>
        </w:rPr>
      </w:pPr>
      <w:r w:rsidRPr="00117A37">
        <w:rPr>
          <w:noProof/>
        </w:rPr>
        <w:lastRenderedPageBreak/>
        <w:t xml:space="preserve">Liu, C., Zhou, N., Du, M.-X., Sun, Y.-T., Wang, K., Wang, Y.-J., Li, D.-H., Yu, H.-Y., Song, Y., and Bai, B.-B. (2020). The Mouse Gut Microbial Biobank expands the coverage of cultured bacteria. Nature communications </w:t>
      </w:r>
      <w:r w:rsidRPr="00117A37">
        <w:rPr>
          <w:i/>
          <w:noProof/>
        </w:rPr>
        <w:t>11</w:t>
      </w:r>
      <w:r w:rsidRPr="00117A37">
        <w:rPr>
          <w:noProof/>
        </w:rPr>
        <w:t>, 1-12.</w:t>
      </w:r>
    </w:p>
    <w:p w14:paraId="7A135701" w14:textId="77777777" w:rsidR="00117A37" w:rsidRPr="00117A37" w:rsidRDefault="00117A37" w:rsidP="00117A37">
      <w:pPr>
        <w:pStyle w:val="EndNoteBibliography"/>
        <w:rPr>
          <w:noProof/>
        </w:rPr>
      </w:pPr>
      <w:r w:rsidRPr="00117A37">
        <w:rPr>
          <w:noProof/>
        </w:rPr>
        <w:t xml:space="preserve">Qin, N., Yang, F., Li, A., Prifti, E., Chen, Y., Shao, L., Guo, J., Le Chatelier, E., Yao, J., and Wu, L. (2014). Alterations of the human gut microbiome in liver cirrhosis. Nature </w:t>
      </w:r>
      <w:r w:rsidRPr="00117A37">
        <w:rPr>
          <w:i/>
          <w:noProof/>
        </w:rPr>
        <w:t>513</w:t>
      </w:r>
      <w:r w:rsidRPr="00117A37">
        <w:rPr>
          <w:noProof/>
        </w:rPr>
        <w:t>, 59-64.</w:t>
      </w:r>
    </w:p>
    <w:p w14:paraId="1198C562" w14:textId="77777777" w:rsidR="00117A37" w:rsidRPr="00117A37" w:rsidRDefault="00117A37" w:rsidP="00117A37">
      <w:pPr>
        <w:pStyle w:val="EndNoteBibliography"/>
        <w:rPr>
          <w:noProof/>
        </w:rPr>
      </w:pPr>
      <w:r w:rsidRPr="00117A37">
        <w:rPr>
          <w:noProof/>
        </w:rPr>
        <w:t xml:space="preserve">Rao, C., Coyte, K.Z., Bainter, W., Geha, R.S., Martin, C.R., and Rakoff-Nahoum, S. (2021). Multi-kingdom ecological drivers of microbiota assembly in preterm infants. Nature </w:t>
      </w:r>
      <w:r w:rsidRPr="00117A37">
        <w:rPr>
          <w:i/>
          <w:noProof/>
        </w:rPr>
        <w:t>591</w:t>
      </w:r>
      <w:r w:rsidRPr="00117A37">
        <w:rPr>
          <w:noProof/>
        </w:rPr>
        <w:t>, 633-638.</w:t>
      </w:r>
    </w:p>
    <w:p w14:paraId="18E7C2A6" w14:textId="77777777" w:rsidR="00117A37" w:rsidRPr="00117A37" w:rsidRDefault="00117A37" w:rsidP="00117A37">
      <w:pPr>
        <w:pStyle w:val="EndNoteBibliography"/>
        <w:rPr>
          <w:noProof/>
        </w:rPr>
      </w:pPr>
      <w:r w:rsidRPr="00117A37">
        <w:rPr>
          <w:noProof/>
        </w:rPr>
        <w:t xml:space="preserve">Rashidi, A., Ebadi, M., Weisdorf, D.J., Costalonga, M., and Staley, C. (2021). No evidence for colonization of oral bacteria in the distal gut in healthy adults. Proceedings of the National Academy of Sciences </w:t>
      </w:r>
      <w:r w:rsidRPr="00117A37">
        <w:rPr>
          <w:i/>
          <w:noProof/>
        </w:rPr>
        <w:t>118</w:t>
      </w:r>
      <w:r w:rsidRPr="00117A37">
        <w:rPr>
          <w:noProof/>
        </w:rPr>
        <w:t>, e2114152118.</w:t>
      </w:r>
    </w:p>
    <w:p w14:paraId="358E71EA" w14:textId="77777777" w:rsidR="00117A37" w:rsidRPr="00117A37" w:rsidRDefault="00117A37" w:rsidP="00117A37">
      <w:pPr>
        <w:pStyle w:val="EndNoteBibliography"/>
        <w:rPr>
          <w:noProof/>
        </w:rPr>
      </w:pPr>
      <w:r w:rsidRPr="00117A37">
        <w:rPr>
          <w:noProof/>
        </w:rPr>
        <w:t xml:space="preserve">Read, E., Curtis, M.A., and Neves, J.F. (2021). The role of oral bacteria in inflammatory bowel disease. Nature Reviews Gastroenterology &amp; Hepatology </w:t>
      </w:r>
      <w:r w:rsidRPr="00117A37">
        <w:rPr>
          <w:i/>
          <w:noProof/>
        </w:rPr>
        <w:t>18</w:t>
      </w:r>
      <w:r w:rsidRPr="00117A37">
        <w:rPr>
          <w:noProof/>
        </w:rPr>
        <w:t>, 731-742.</w:t>
      </w:r>
    </w:p>
    <w:p w14:paraId="12D72F17" w14:textId="77777777" w:rsidR="00117A37" w:rsidRPr="00117A37" w:rsidRDefault="00117A37" w:rsidP="00117A37">
      <w:pPr>
        <w:pStyle w:val="EndNoteBibliography"/>
        <w:rPr>
          <w:noProof/>
        </w:rPr>
      </w:pPr>
      <w:r w:rsidRPr="00117A37">
        <w:rPr>
          <w:noProof/>
        </w:rPr>
        <w:t xml:space="preserve">Reese, A.T., Cho, E.H., Klitzman, B., Nichols, S.P., Wisniewski, N.A., Villa, M.M., Durand, H.K., Jiang, S., Midani, F.S., and Nimmagadda, S.N. (2018). Antibiotic-induced changes in the microbiota disrupt redox dynamics in the gut. Elife </w:t>
      </w:r>
      <w:r w:rsidRPr="00117A37">
        <w:rPr>
          <w:i/>
          <w:noProof/>
        </w:rPr>
        <w:t>7</w:t>
      </w:r>
      <w:r w:rsidRPr="00117A37">
        <w:rPr>
          <w:noProof/>
        </w:rPr>
        <w:t>, e35987.</w:t>
      </w:r>
    </w:p>
    <w:p w14:paraId="7651CB4B" w14:textId="77777777" w:rsidR="00117A37" w:rsidRPr="00117A37" w:rsidRDefault="00117A37" w:rsidP="00117A37">
      <w:pPr>
        <w:pStyle w:val="EndNoteBibliography"/>
        <w:rPr>
          <w:noProof/>
        </w:rPr>
      </w:pPr>
      <w:r w:rsidRPr="00117A37">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117A37">
        <w:rPr>
          <w:i/>
          <w:noProof/>
        </w:rPr>
        <w:t>24</w:t>
      </w:r>
      <w:r w:rsidRPr="00117A37">
        <w:rPr>
          <w:noProof/>
        </w:rPr>
        <w:t>, 600-610. e604.</w:t>
      </w:r>
    </w:p>
    <w:p w14:paraId="7751EBD7" w14:textId="77777777" w:rsidR="00117A37" w:rsidRPr="00117A37" w:rsidRDefault="00117A37" w:rsidP="00117A37">
      <w:pPr>
        <w:pStyle w:val="EndNoteBibliography"/>
        <w:rPr>
          <w:noProof/>
        </w:rPr>
      </w:pPr>
      <w:r w:rsidRPr="00117A37">
        <w:rPr>
          <w:noProof/>
        </w:rPr>
        <w:t xml:space="preserve">Schluter, J., Peled, J.U., Taylor, B.P., Markey, K.A., Smith, M., Taur, Y., Niehus, R., Staffas, A., Dai, A., and Fontana, E. (2020). The gut microbiota is associated with immune cell dynamics in humans. Nature </w:t>
      </w:r>
      <w:r w:rsidRPr="00117A37">
        <w:rPr>
          <w:i/>
          <w:noProof/>
        </w:rPr>
        <w:t>588</w:t>
      </w:r>
      <w:r w:rsidRPr="00117A37">
        <w:rPr>
          <w:noProof/>
        </w:rPr>
        <w:t>, 303-307.</w:t>
      </w:r>
    </w:p>
    <w:p w14:paraId="796228C9" w14:textId="77777777" w:rsidR="00117A37" w:rsidRPr="00117A37" w:rsidRDefault="00117A37" w:rsidP="00117A37">
      <w:pPr>
        <w:pStyle w:val="EndNoteBibliography"/>
        <w:rPr>
          <w:noProof/>
        </w:rPr>
      </w:pPr>
      <w:r w:rsidRPr="00117A37">
        <w:rPr>
          <w:noProof/>
        </w:rPr>
        <w:t xml:space="preserve">Schmidt, T.S., Hayward, M.R., Coelho, L.P., Li, S.S., Costea, P.I., Voigt, A.Y., Wirbel, J., Maistrenko, O.M., Alves, R.J., and Bergsten, E. (2019). Extensive transmission of microbes along the gastrointestinal tract. Elife </w:t>
      </w:r>
      <w:r w:rsidRPr="00117A37">
        <w:rPr>
          <w:i/>
          <w:noProof/>
        </w:rPr>
        <w:t>8</w:t>
      </w:r>
      <w:r w:rsidRPr="00117A37">
        <w:rPr>
          <w:noProof/>
        </w:rPr>
        <w:t>, e42693.</w:t>
      </w:r>
    </w:p>
    <w:p w14:paraId="61A51C9F" w14:textId="77777777" w:rsidR="00117A37" w:rsidRPr="00117A37" w:rsidRDefault="00117A37" w:rsidP="00117A37">
      <w:pPr>
        <w:pStyle w:val="EndNoteBibliography"/>
        <w:rPr>
          <w:noProof/>
        </w:rPr>
      </w:pPr>
      <w:r w:rsidRPr="00117A37">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117A37">
        <w:rPr>
          <w:i/>
          <w:noProof/>
        </w:rPr>
        <w:t>13</w:t>
      </w:r>
      <w:r w:rsidRPr="00117A37">
        <w:rPr>
          <w:noProof/>
        </w:rPr>
        <w:t>, 1-18.</w:t>
      </w:r>
    </w:p>
    <w:p w14:paraId="6A69632C" w14:textId="77777777" w:rsidR="00117A37" w:rsidRPr="00117A37" w:rsidRDefault="00117A37" w:rsidP="00117A37">
      <w:pPr>
        <w:pStyle w:val="EndNoteBibliography"/>
        <w:rPr>
          <w:noProof/>
        </w:rPr>
      </w:pPr>
      <w:r w:rsidRPr="00117A37">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117A37">
        <w:rPr>
          <w:i/>
          <w:noProof/>
        </w:rPr>
        <w:t>23</w:t>
      </w:r>
      <w:r w:rsidRPr="00117A37">
        <w:rPr>
          <w:noProof/>
        </w:rPr>
        <w:t>, 447-457. e444.</w:t>
      </w:r>
    </w:p>
    <w:p w14:paraId="0BC36865" w14:textId="77777777" w:rsidR="00117A37" w:rsidRPr="00117A37" w:rsidRDefault="00117A37" w:rsidP="00117A37">
      <w:pPr>
        <w:pStyle w:val="EndNoteBibliography"/>
        <w:rPr>
          <w:noProof/>
        </w:rPr>
      </w:pPr>
      <w:r w:rsidRPr="00117A37">
        <w:rPr>
          <w:noProof/>
        </w:rPr>
        <w:t xml:space="preserve">Tang, T.W., Chen, H.-C., Chen, C.-Y., Yen, C.Y., Lin, C.-J., Prajnamitra, R.P., Chen, L.-L., Ruan, S.-C., Lin, J.-H., and Lin, P.-J. (2019). Loss of gut microbiota alters immune system composition and cripples postinfarction cardiac repair. Circulation </w:t>
      </w:r>
      <w:r w:rsidRPr="00117A37">
        <w:rPr>
          <w:i/>
          <w:noProof/>
        </w:rPr>
        <w:t>139</w:t>
      </w:r>
      <w:r w:rsidRPr="00117A37">
        <w:rPr>
          <w:noProof/>
        </w:rPr>
        <w:t>, 647-659.</w:t>
      </w:r>
    </w:p>
    <w:p w14:paraId="1A3358BB" w14:textId="77777777" w:rsidR="00117A37" w:rsidRPr="00117A37" w:rsidRDefault="00117A37" w:rsidP="00117A37">
      <w:pPr>
        <w:pStyle w:val="EndNoteBibliography"/>
        <w:rPr>
          <w:noProof/>
        </w:rPr>
      </w:pPr>
      <w:r w:rsidRPr="00117A37">
        <w:rPr>
          <w:noProof/>
        </w:rPr>
        <w:t xml:space="preserve">The Human Microbiome Project Consortium (2012). Structure, function and diversity of the healthy human microbiome. nature </w:t>
      </w:r>
      <w:r w:rsidRPr="00117A37">
        <w:rPr>
          <w:i/>
          <w:noProof/>
        </w:rPr>
        <w:t>486</w:t>
      </w:r>
      <w:r w:rsidRPr="00117A37">
        <w:rPr>
          <w:noProof/>
        </w:rPr>
        <w:t>, 207-214.</w:t>
      </w:r>
    </w:p>
    <w:p w14:paraId="023959C1" w14:textId="77777777" w:rsidR="00117A37" w:rsidRPr="00117A37" w:rsidRDefault="00117A37" w:rsidP="00117A37">
      <w:pPr>
        <w:pStyle w:val="EndNoteBibliography"/>
        <w:rPr>
          <w:noProof/>
        </w:rPr>
      </w:pPr>
      <w:r w:rsidRPr="00117A37">
        <w:rPr>
          <w:noProof/>
        </w:rPr>
        <w:t xml:space="preserve">Theis, K.R., Romero, R., Greenberg, J.M., Winters, A.D., Garcia-Flores, V., Motomura, K., Ahmad, M.M., Galaz, J., Arenas-Hernandez, M., and Gomez-Lopez, N. (2020). No consistent evidence for microbiota in murine placental and fetal tissues. Msphere </w:t>
      </w:r>
      <w:r w:rsidRPr="00117A37">
        <w:rPr>
          <w:i/>
          <w:noProof/>
        </w:rPr>
        <w:t>5</w:t>
      </w:r>
      <w:r w:rsidRPr="00117A37">
        <w:rPr>
          <w:noProof/>
        </w:rPr>
        <w:t>, e00933-00919.</w:t>
      </w:r>
    </w:p>
    <w:p w14:paraId="69BCA291" w14:textId="77777777" w:rsidR="00117A37" w:rsidRPr="00117A37" w:rsidRDefault="00117A37" w:rsidP="00117A37">
      <w:pPr>
        <w:pStyle w:val="EndNoteBibliography"/>
        <w:rPr>
          <w:noProof/>
        </w:rPr>
      </w:pPr>
      <w:r w:rsidRPr="00117A37">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117A37">
        <w:rPr>
          <w:i/>
          <w:noProof/>
        </w:rPr>
        <w:t>25</w:t>
      </w:r>
      <w:r w:rsidRPr="00117A37">
        <w:rPr>
          <w:noProof/>
        </w:rPr>
        <w:t>, 667-678.</w:t>
      </w:r>
    </w:p>
    <w:p w14:paraId="4A2301D8" w14:textId="77777777" w:rsidR="00117A37" w:rsidRPr="00117A37" w:rsidRDefault="00117A37" w:rsidP="00117A37">
      <w:pPr>
        <w:pStyle w:val="EndNoteBibliography"/>
        <w:rPr>
          <w:noProof/>
        </w:rPr>
      </w:pPr>
      <w:r w:rsidRPr="00117A37">
        <w:rPr>
          <w:noProof/>
        </w:rPr>
        <w:t xml:space="preserve">Van der Maaten, L., and Hinton, G. (2008). Visualizing data using t-SNE. Journal of machine learning research </w:t>
      </w:r>
      <w:r w:rsidRPr="00117A37">
        <w:rPr>
          <w:i/>
          <w:noProof/>
        </w:rPr>
        <w:t>9</w:t>
      </w:r>
      <w:r w:rsidRPr="00117A37">
        <w:rPr>
          <w:noProof/>
        </w:rPr>
        <w:t>.</w:t>
      </w:r>
    </w:p>
    <w:p w14:paraId="58922680" w14:textId="77777777" w:rsidR="00117A37" w:rsidRPr="00117A37" w:rsidRDefault="00117A37" w:rsidP="00117A37">
      <w:pPr>
        <w:pStyle w:val="EndNoteBibliography"/>
        <w:rPr>
          <w:noProof/>
        </w:rPr>
      </w:pPr>
      <w:r w:rsidRPr="00117A37">
        <w:rPr>
          <w:noProof/>
        </w:rPr>
        <w:lastRenderedPageBreak/>
        <w:t xml:space="preserve">Vandeputte, D., Kathagen, G., D’hoe, K., Vieira-Silva, S., Valles-Colomer, M., Sabino, J., Wang, J., Tito, R.Y., De Commer, L., and Darzi, Y. (2017). Quantitative microbiome profiling links gut community variation to microbial load. Nature </w:t>
      </w:r>
      <w:r w:rsidRPr="00117A37">
        <w:rPr>
          <w:i/>
          <w:noProof/>
        </w:rPr>
        <w:t>551</w:t>
      </w:r>
      <w:r w:rsidRPr="00117A37">
        <w:rPr>
          <w:noProof/>
        </w:rPr>
        <w:t>, 507-511.</w:t>
      </w:r>
    </w:p>
    <w:p w14:paraId="1DB1D127" w14:textId="77777777" w:rsidR="00117A37" w:rsidRPr="00117A37" w:rsidRDefault="00117A37" w:rsidP="00117A37">
      <w:pPr>
        <w:pStyle w:val="EndNoteBibliography"/>
        <w:rPr>
          <w:noProof/>
        </w:rPr>
      </w:pPr>
      <w:r w:rsidRPr="00117A37">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117A37">
        <w:rPr>
          <w:i/>
          <w:noProof/>
        </w:rPr>
        <w:t>4</w:t>
      </w:r>
      <w:r w:rsidRPr="00117A37">
        <w:rPr>
          <w:noProof/>
        </w:rPr>
        <w:t>, 1826-1831.</w:t>
      </w:r>
    </w:p>
    <w:p w14:paraId="31045464" w14:textId="77777777" w:rsidR="00117A37" w:rsidRPr="00117A37" w:rsidRDefault="00117A37" w:rsidP="00117A37">
      <w:pPr>
        <w:pStyle w:val="EndNoteBibliography"/>
        <w:rPr>
          <w:noProof/>
        </w:rPr>
      </w:pPr>
      <w:r w:rsidRPr="00117A37">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117A37">
        <w:rPr>
          <w:i/>
          <w:noProof/>
        </w:rPr>
        <w:t>9</w:t>
      </w:r>
      <w:r w:rsidRPr="00117A37">
        <w:rPr>
          <w:noProof/>
        </w:rPr>
        <w:t>, 1-13.</w:t>
      </w:r>
    </w:p>
    <w:p w14:paraId="5A66C7AD" w14:textId="37BEE282" w:rsidR="005D4EDE" w:rsidRPr="00AC26F8" w:rsidRDefault="00686725" w:rsidP="00A00A4E">
      <w:r w:rsidRPr="00AC26F8">
        <w:fldChar w:fldCharType="end"/>
      </w:r>
    </w:p>
    <w:sectPr w:rsidR="005D4EDE" w:rsidRPr="00AC26F8" w:rsidSect="008A3F1F">
      <w:headerReference w:type="default" r:id="rId17"/>
      <w:footerReference w:type="even" r:id="rId18"/>
      <w:footerReference w:type="first" r:id="rId19"/>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F36BB" w14:textId="77777777" w:rsidR="00F657B3" w:rsidRDefault="00F657B3" w:rsidP="00D73714">
      <w:r>
        <w:separator/>
      </w:r>
    </w:p>
  </w:endnote>
  <w:endnote w:type="continuationSeparator" w:id="0">
    <w:p w14:paraId="0C331C93" w14:textId="77777777" w:rsidR="00F657B3" w:rsidRDefault="00F657B3" w:rsidP="00D73714">
      <w:r>
        <w:continuationSeparator/>
      </w:r>
    </w:p>
  </w:endnote>
  <w:endnote w:type="continuationNotice" w:id="1">
    <w:p w14:paraId="52A8123C" w14:textId="77777777" w:rsidR="00F657B3" w:rsidRDefault="00F657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C84A2C" w:rsidRDefault="00C84A2C" w:rsidP="00577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A3F1F">
          <w:rPr>
            <w:rStyle w:val="PageNumber"/>
            <w:noProof/>
          </w:rPr>
          <w:t>2</w:t>
        </w:r>
        <w:r>
          <w:rPr>
            <w:rStyle w:val="PageNumber"/>
          </w:rPr>
          <w:fldChar w:fldCharType="end"/>
        </w:r>
      </w:p>
    </w:sdtContent>
  </w:sdt>
  <w:p w14:paraId="3EE541CD" w14:textId="77777777" w:rsidR="00C84A2C" w:rsidRDefault="00C84A2C"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70644" w14:textId="77777777" w:rsidR="00F657B3" w:rsidRDefault="00F657B3" w:rsidP="00D73714">
      <w:r>
        <w:separator/>
      </w:r>
    </w:p>
  </w:footnote>
  <w:footnote w:type="continuationSeparator" w:id="0">
    <w:p w14:paraId="6CEB3F67" w14:textId="77777777" w:rsidR="00F657B3" w:rsidRDefault="00F657B3" w:rsidP="00D73714">
      <w:r>
        <w:continuationSeparator/>
      </w:r>
    </w:p>
  </w:footnote>
  <w:footnote w:type="continuationNotice" w:id="1">
    <w:p w14:paraId="5DD76A34" w14:textId="77777777" w:rsidR="00F657B3" w:rsidRDefault="00F657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7B012B" w:rsidRDefault="007B012B"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5&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64261D"/>
    <w:rsid w:val="000015F9"/>
    <w:rsid w:val="00001774"/>
    <w:rsid w:val="00002579"/>
    <w:rsid w:val="000027A1"/>
    <w:rsid w:val="00003414"/>
    <w:rsid w:val="00004A0B"/>
    <w:rsid w:val="00010A90"/>
    <w:rsid w:val="00010D76"/>
    <w:rsid w:val="000134A7"/>
    <w:rsid w:val="00013723"/>
    <w:rsid w:val="00013878"/>
    <w:rsid w:val="00013EC6"/>
    <w:rsid w:val="00015092"/>
    <w:rsid w:val="00016538"/>
    <w:rsid w:val="00016C9A"/>
    <w:rsid w:val="00016F55"/>
    <w:rsid w:val="00017543"/>
    <w:rsid w:val="00022178"/>
    <w:rsid w:val="00022F72"/>
    <w:rsid w:val="00024CAA"/>
    <w:rsid w:val="00025E62"/>
    <w:rsid w:val="00026FDD"/>
    <w:rsid w:val="00030DC4"/>
    <w:rsid w:val="00032968"/>
    <w:rsid w:val="000340D5"/>
    <w:rsid w:val="00034EF2"/>
    <w:rsid w:val="00035303"/>
    <w:rsid w:val="00035DD8"/>
    <w:rsid w:val="000371AA"/>
    <w:rsid w:val="000403C3"/>
    <w:rsid w:val="00041552"/>
    <w:rsid w:val="000464E0"/>
    <w:rsid w:val="000517CD"/>
    <w:rsid w:val="00053D73"/>
    <w:rsid w:val="00054E3C"/>
    <w:rsid w:val="00054FF6"/>
    <w:rsid w:val="000562CC"/>
    <w:rsid w:val="00060550"/>
    <w:rsid w:val="000606A1"/>
    <w:rsid w:val="00063211"/>
    <w:rsid w:val="00063761"/>
    <w:rsid w:val="00066891"/>
    <w:rsid w:val="00071B2F"/>
    <w:rsid w:val="00073412"/>
    <w:rsid w:val="000743A0"/>
    <w:rsid w:val="00075BB2"/>
    <w:rsid w:val="00077272"/>
    <w:rsid w:val="00077D7D"/>
    <w:rsid w:val="00080356"/>
    <w:rsid w:val="00080723"/>
    <w:rsid w:val="00082AB9"/>
    <w:rsid w:val="00082F44"/>
    <w:rsid w:val="00083152"/>
    <w:rsid w:val="00093684"/>
    <w:rsid w:val="00095099"/>
    <w:rsid w:val="000A0481"/>
    <w:rsid w:val="000A52C6"/>
    <w:rsid w:val="000A57CB"/>
    <w:rsid w:val="000A5F93"/>
    <w:rsid w:val="000B1D7B"/>
    <w:rsid w:val="000B4FB5"/>
    <w:rsid w:val="000B7E4F"/>
    <w:rsid w:val="000C460C"/>
    <w:rsid w:val="000C76DD"/>
    <w:rsid w:val="000C777F"/>
    <w:rsid w:val="000C7F0C"/>
    <w:rsid w:val="000C7F33"/>
    <w:rsid w:val="000D0A6C"/>
    <w:rsid w:val="000D2F16"/>
    <w:rsid w:val="000D6BDC"/>
    <w:rsid w:val="000E12C2"/>
    <w:rsid w:val="000E28BA"/>
    <w:rsid w:val="000E3E7D"/>
    <w:rsid w:val="000E5BAC"/>
    <w:rsid w:val="000E652C"/>
    <w:rsid w:val="000E7F74"/>
    <w:rsid w:val="000F0553"/>
    <w:rsid w:val="000F2055"/>
    <w:rsid w:val="000F4452"/>
    <w:rsid w:val="000F6550"/>
    <w:rsid w:val="000F7259"/>
    <w:rsid w:val="00101767"/>
    <w:rsid w:val="00102AD3"/>
    <w:rsid w:val="00103A99"/>
    <w:rsid w:val="00103E85"/>
    <w:rsid w:val="00103E8B"/>
    <w:rsid w:val="001051BE"/>
    <w:rsid w:val="0010660F"/>
    <w:rsid w:val="001074DD"/>
    <w:rsid w:val="00107A87"/>
    <w:rsid w:val="00110652"/>
    <w:rsid w:val="00111899"/>
    <w:rsid w:val="00117A37"/>
    <w:rsid w:val="00122855"/>
    <w:rsid w:val="00123693"/>
    <w:rsid w:val="00124ABC"/>
    <w:rsid w:val="001266FF"/>
    <w:rsid w:val="0012721F"/>
    <w:rsid w:val="00130FFE"/>
    <w:rsid w:val="0013106A"/>
    <w:rsid w:val="00131582"/>
    <w:rsid w:val="001331D7"/>
    <w:rsid w:val="00135D36"/>
    <w:rsid w:val="0014324A"/>
    <w:rsid w:val="00143766"/>
    <w:rsid w:val="0014413B"/>
    <w:rsid w:val="001447DE"/>
    <w:rsid w:val="00145ED8"/>
    <w:rsid w:val="00150323"/>
    <w:rsid w:val="001505A5"/>
    <w:rsid w:val="0015189C"/>
    <w:rsid w:val="00152F61"/>
    <w:rsid w:val="00153826"/>
    <w:rsid w:val="0015549E"/>
    <w:rsid w:val="00157530"/>
    <w:rsid w:val="001610E6"/>
    <w:rsid w:val="001617A9"/>
    <w:rsid w:val="001617C0"/>
    <w:rsid w:val="00161F32"/>
    <w:rsid w:val="00170B59"/>
    <w:rsid w:val="00170DC4"/>
    <w:rsid w:val="0017394F"/>
    <w:rsid w:val="00174D19"/>
    <w:rsid w:val="001766DD"/>
    <w:rsid w:val="00176B7F"/>
    <w:rsid w:val="001775FA"/>
    <w:rsid w:val="001830AA"/>
    <w:rsid w:val="00183E08"/>
    <w:rsid w:val="001864B3"/>
    <w:rsid w:val="001901FA"/>
    <w:rsid w:val="0019094B"/>
    <w:rsid w:val="0019290D"/>
    <w:rsid w:val="00192CF8"/>
    <w:rsid w:val="00192E13"/>
    <w:rsid w:val="001946DF"/>
    <w:rsid w:val="00197142"/>
    <w:rsid w:val="001A1F3C"/>
    <w:rsid w:val="001A3A83"/>
    <w:rsid w:val="001B0EE2"/>
    <w:rsid w:val="001B1316"/>
    <w:rsid w:val="001B2E30"/>
    <w:rsid w:val="001B41BC"/>
    <w:rsid w:val="001B464E"/>
    <w:rsid w:val="001B5C85"/>
    <w:rsid w:val="001B5F19"/>
    <w:rsid w:val="001C0744"/>
    <w:rsid w:val="001C6B0F"/>
    <w:rsid w:val="001C70AB"/>
    <w:rsid w:val="001D26BB"/>
    <w:rsid w:val="001D3DE1"/>
    <w:rsid w:val="001D4C6A"/>
    <w:rsid w:val="001D52F1"/>
    <w:rsid w:val="001D5660"/>
    <w:rsid w:val="001D6330"/>
    <w:rsid w:val="001D787D"/>
    <w:rsid w:val="001E1194"/>
    <w:rsid w:val="001E3E2E"/>
    <w:rsid w:val="001E60E3"/>
    <w:rsid w:val="001E7460"/>
    <w:rsid w:val="001E7652"/>
    <w:rsid w:val="001F046A"/>
    <w:rsid w:val="001F1DA6"/>
    <w:rsid w:val="001F2665"/>
    <w:rsid w:val="001F2CB8"/>
    <w:rsid w:val="001F3C82"/>
    <w:rsid w:val="001F3C9C"/>
    <w:rsid w:val="001F5B6D"/>
    <w:rsid w:val="001F68AE"/>
    <w:rsid w:val="00201463"/>
    <w:rsid w:val="002015DE"/>
    <w:rsid w:val="002034DA"/>
    <w:rsid w:val="00204460"/>
    <w:rsid w:val="002053AF"/>
    <w:rsid w:val="0020714E"/>
    <w:rsid w:val="0021079F"/>
    <w:rsid w:val="00212791"/>
    <w:rsid w:val="00212EB0"/>
    <w:rsid w:val="002131A3"/>
    <w:rsid w:val="00216275"/>
    <w:rsid w:val="00216311"/>
    <w:rsid w:val="00217451"/>
    <w:rsid w:val="00224E3B"/>
    <w:rsid w:val="002264C6"/>
    <w:rsid w:val="00227AE4"/>
    <w:rsid w:val="00230D22"/>
    <w:rsid w:val="00232255"/>
    <w:rsid w:val="00234945"/>
    <w:rsid w:val="00235972"/>
    <w:rsid w:val="00236104"/>
    <w:rsid w:val="0023694E"/>
    <w:rsid w:val="00236F8D"/>
    <w:rsid w:val="00241F8E"/>
    <w:rsid w:val="00241FB3"/>
    <w:rsid w:val="00242478"/>
    <w:rsid w:val="00244331"/>
    <w:rsid w:val="0024480A"/>
    <w:rsid w:val="00246118"/>
    <w:rsid w:val="00246299"/>
    <w:rsid w:val="002475FA"/>
    <w:rsid w:val="002520CF"/>
    <w:rsid w:val="00252AE1"/>
    <w:rsid w:val="00252F40"/>
    <w:rsid w:val="0025424D"/>
    <w:rsid w:val="00254AC6"/>
    <w:rsid w:val="00255261"/>
    <w:rsid w:val="00255991"/>
    <w:rsid w:val="0026002F"/>
    <w:rsid w:val="002602EF"/>
    <w:rsid w:val="00262211"/>
    <w:rsid w:val="00262A4D"/>
    <w:rsid w:val="00265BBC"/>
    <w:rsid w:val="00266225"/>
    <w:rsid w:val="00266F69"/>
    <w:rsid w:val="002675C3"/>
    <w:rsid w:val="00270F47"/>
    <w:rsid w:val="0027235B"/>
    <w:rsid w:val="00274CC3"/>
    <w:rsid w:val="00276A11"/>
    <w:rsid w:val="00276D57"/>
    <w:rsid w:val="00283A58"/>
    <w:rsid w:val="00285C4E"/>
    <w:rsid w:val="00286928"/>
    <w:rsid w:val="0029188B"/>
    <w:rsid w:val="00291BF2"/>
    <w:rsid w:val="00292A32"/>
    <w:rsid w:val="0029404C"/>
    <w:rsid w:val="00295D85"/>
    <w:rsid w:val="002A192C"/>
    <w:rsid w:val="002A333F"/>
    <w:rsid w:val="002A4CB8"/>
    <w:rsid w:val="002A5E7A"/>
    <w:rsid w:val="002A7948"/>
    <w:rsid w:val="002B094A"/>
    <w:rsid w:val="002B1CD7"/>
    <w:rsid w:val="002B7475"/>
    <w:rsid w:val="002B7851"/>
    <w:rsid w:val="002C07E9"/>
    <w:rsid w:val="002C117F"/>
    <w:rsid w:val="002C33B8"/>
    <w:rsid w:val="002C4DCA"/>
    <w:rsid w:val="002D0AE9"/>
    <w:rsid w:val="002D0F11"/>
    <w:rsid w:val="002D2E4D"/>
    <w:rsid w:val="002D53C4"/>
    <w:rsid w:val="002D6FCE"/>
    <w:rsid w:val="002D75C3"/>
    <w:rsid w:val="002E13DD"/>
    <w:rsid w:val="002E368C"/>
    <w:rsid w:val="002E402E"/>
    <w:rsid w:val="002E5A72"/>
    <w:rsid w:val="002E5C7C"/>
    <w:rsid w:val="002E5D14"/>
    <w:rsid w:val="002E60B9"/>
    <w:rsid w:val="002E7A3C"/>
    <w:rsid w:val="002F3388"/>
    <w:rsid w:val="002F3965"/>
    <w:rsid w:val="002F3F38"/>
    <w:rsid w:val="002F73A8"/>
    <w:rsid w:val="002F7740"/>
    <w:rsid w:val="003002F8"/>
    <w:rsid w:val="003029F8"/>
    <w:rsid w:val="00302D97"/>
    <w:rsid w:val="00306F81"/>
    <w:rsid w:val="00307E3E"/>
    <w:rsid w:val="00307F53"/>
    <w:rsid w:val="00310501"/>
    <w:rsid w:val="00313590"/>
    <w:rsid w:val="0032179C"/>
    <w:rsid w:val="00324846"/>
    <w:rsid w:val="00324AC1"/>
    <w:rsid w:val="00332984"/>
    <w:rsid w:val="00332E74"/>
    <w:rsid w:val="00333B92"/>
    <w:rsid w:val="00337D95"/>
    <w:rsid w:val="00342D97"/>
    <w:rsid w:val="00345066"/>
    <w:rsid w:val="00345AD6"/>
    <w:rsid w:val="00345DBD"/>
    <w:rsid w:val="003508D5"/>
    <w:rsid w:val="00351DD8"/>
    <w:rsid w:val="00354BA5"/>
    <w:rsid w:val="00356410"/>
    <w:rsid w:val="00356489"/>
    <w:rsid w:val="00356545"/>
    <w:rsid w:val="0035681A"/>
    <w:rsid w:val="003573FB"/>
    <w:rsid w:val="00357455"/>
    <w:rsid w:val="00360719"/>
    <w:rsid w:val="003613D9"/>
    <w:rsid w:val="00361972"/>
    <w:rsid w:val="00363BF8"/>
    <w:rsid w:val="00363F17"/>
    <w:rsid w:val="003658DF"/>
    <w:rsid w:val="00367A37"/>
    <w:rsid w:val="00367A45"/>
    <w:rsid w:val="00367F57"/>
    <w:rsid w:val="00370FED"/>
    <w:rsid w:val="00371EBB"/>
    <w:rsid w:val="00371F87"/>
    <w:rsid w:val="00373FB2"/>
    <w:rsid w:val="00374C0D"/>
    <w:rsid w:val="00381E32"/>
    <w:rsid w:val="00382475"/>
    <w:rsid w:val="0038427C"/>
    <w:rsid w:val="003851C5"/>
    <w:rsid w:val="003854AD"/>
    <w:rsid w:val="00385E3E"/>
    <w:rsid w:val="00390FCB"/>
    <w:rsid w:val="00391FA5"/>
    <w:rsid w:val="003930B7"/>
    <w:rsid w:val="00397E4D"/>
    <w:rsid w:val="003A139F"/>
    <w:rsid w:val="003A2DBC"/>
    <w:rsid w:val="003A77E5"/>
    <w:rsid w:val="003A7E63"/>
    <w:rsid w:val="003B0531"/>
    <w:rsid w:val="003B0780"/>
    <w:rsid w:val="003B1111"/>
    <w:rsid w:val="003B1466"/>
    <w:rsid w:val="003B1C89"/>
    <w:rsid w:val="003B4A96"/>
    <w:rsid w:val="003B4FC3"/>
    <w:rsid w:val="003C063E"/>
    <w:rsid w:val="003C15EE"/>
    <w:rsid w:val="003C1C49"/>
    <w:rsid w:val="003C2547"/>
    <w:rsid w:val="003C3093"/>
    <w:rsid w:val="003C4318"/>
    <w:rsid w:val="003C58F0"/>
    <w:rsid w:val="003C77AE"/>
    <w:rsid w:val="003D2E8E"/>
    <w:rsid w:val="003D39E6"/>
    <w:rsid w:val="003D6392"/>
    <w:rsid w:val="003D6CAA"/>
    <w:rsid w:val="003D6E3B"/>
    <w:rsid w:val="003D733C"/>
    <w:rsid w:val="003D7709"/>
    <w:rsid w:val="003E1F12"/>
    <w:rsid w:val="003E1FFD"/>
    <w:rsid w:val="003E2BE6"/>
    <w:rsid w:val="003E47D5"/>
    <w:rsid w:val="003E4C31"/>
    <w:rsid w:val="003E5DBB"/>
    <w:rsid w:val="003E65D6"/>
    <w:rsid w:val="003E791E"/>
    <w:rsid w:val="003F01C0"/>
    <w:rsid w:val="003F0BF0"/>
    <w:rsid w:val="003F0E2C"/>
    <w:rsid w:val="003F19B9"/>
    <w:rsid w:val="003F1C70"/>
    <w:rsid w:val="003F39AE"/>
    <w:rsid w:val="003F490B"/>
    <w:rsid w:val="003F545D"/>
    <w:rsid w:val="003F7222"/>
    <w:rsid w:val="003F761E"/>
    <w:rsid w:val="004027EB"/>
    <w:rsid w:val="00402EA1"/>
    <w:rsid w:val="00404043"/>
    <w:rsid w:val="00404258"/>
    <w:rsid w:val="00405420"/>
    <w:rsid w:val="004057E5"/>
    <w:rsid w:val="0040723F"/>
    <w:rsid w:val="00410715"/>
    <w:rsid w:val="00412918"/>
    <w:rsid w:val="00412D00"/>
    <w:rsid w:val="004134D7"/>
    <w:rsid w:val="00414C0C"/>
    <w:rsid w:val="00415528"/>
    <w:rsid w:val="00415C1A"/>
    <w:rsid w:val="00416C2B"/>
    <w:rsid w:val="004175A7"/>
    <w:rsid w:val="00420491"/>
    <w:rsid w:val="0042140C"/>
    <w:rsid w:val="0042312C"/>
    <w:rsid w:val="00423439"/>
    <w:rsid w:val="00424601"/>
    <w:rsid w:val="00425CCC"/>
    <w:rsid w:val="00431385"/>
    <w:rsid w:val="00431AEE"/>
    <w:rsid w:val="00431CAA"/>
    <w:rsid w:val="0043223B"/>
    <w:rsid w:val="00432A92"/>
    <w:rsid w:val="00443C71"/>
    <w:rsid w:val="00446545"/>
    <w:rsid w:val="0044679B"/>
    <w:rsid w:val="004473D1"/>
    <w:rsid w:val="00447EB3"/>
    <w:rsid w:val="00451229"/>
    <w:rsid w:val="00451359"/>
    <w:rsid w:val="00453D3C"/>
    <w:rsid w:val="00456AEC"/>
    <w:rsid w:val="004614D6"/>
    <w:rsid w:val="00461C74"/>
    <w:rsid w:val="00463C05"/>
    <w:rsid w:val="00464ABD"/>
    <w:rsid w:val="0046536E"/>
    <w:rsid w:val="00465F7D"/>
    <w:rsid w:val="004722B4"/>
    <w:rsid w:val="00475539"/>
    <w:rsid w:val="004762DD"/>
    <w:rsid w:val="00481ADC"/>
    <w:rsid w:val="00482684"/>
    <w:rsid w:val="00484FC9"/>
    <w:rsid w:val="00485BAF"/>
    <w:rsid w:val="004876B9"/>
    <w:rsid w:val="0049059B"/>
    <w:rsid w:val="00491A4A"/>
    <w:rsid w:val="00493C01"/>
    <w:rsid w:val="004959E8"/>
    <w:rsid w:val="004970D6"/>
    <w:rsid w:val="004972F7"/>
    <w:rsid w:val="004A2E62"/>
    <w:rsid w:val="004A3324"/>
    <w:rsid w:val="004A3A79"/>
    <w:rsid w:val="004A4218"/>
    <w:rsid w:val="004A4ABB"/>
    <w:rsid w:val="004A5306"/>
    <w:rsid w:val="004A5CB0"/>
    <w:rsid w:val="004A5DD4"/>
    <w:rsid w:val="004A7D7D"/>
    <w:rsid w:val="004B22B7"/>
    <w:rsid w:val="004B48FC"/>
    <w:rsid w:val="004B4F4B"/>
    <w:rsid w:val="004B65A0"/>
    <w:rsid w:val="004B6AD4"/>
    <w:rsid w:val="004C047C"/>
    <w:rsid w:val="004C0CBE"/>
    <w:rsid w:val="004C178F"/>
    <w:rsid w:val="004C2E17"/>
    <w:rsid w:val="004C301D"/>
    <w:rsid w:val="004C5B78"/>
    <w:rsid w:val="004D10EA"/>
    <w:rsid w:val="004D15A7"/>
    <w:rsid w:val="004D19A5"/>
    <w:rsid w:val="004D1DA8"/>
    <w:rsid w:val="004D1E7A"/>
    <w:rsid w:val="004D2513"/>
    <w:rsid w:val="004D2EF6"/>
    <w:rsid w:val="004D3B14"/>
    <w:rsid w:val="004D4CFF"/>
    <w:rsid w:val="004D6781"/>
    <w:rsid w:val="004D7086"/>
    <w:rsid w:val="004E226D"/>
    <w:rsid w:val="004E3427"/>
    <w:rsid w:val="004E5C3E"/>
    <w:rsid w:val="004E7B49"/>
    <w:rsid w:val="004F1436"/>
    <w:rsid w:val="004F15BA"/>
    <w:rsid w:val="004F3530"/>
    <w:rsid w:val="00500BD3"/>
    <w:rsid w:val="00500C7D"/>
    <w:rsid w:val="0050178F"/>
    <w:rsid w:val="005066FE"/>
    <w:rsid w:val="00511986"/>
    <w:rsid w:val="00512867"/>
    <w:rsid w:val="00514C6C"/>
    <w:rsid w:val="00515933"/>
    <w:rsid w:val="00517675"/>
    <w:rsid w:val="005202B7"/>
    <w:rsid w:val="005214FC"/>
    <w:rsid w:val="0052319B"/>
    <w:rsid w:val="005245DF"/>
    <w:rsid w:val="00527EEF"/>
    <w:rsid w:val="00531E1C"/>
    <w:rsid w:val="005406B5"/>
    <w:rsid w:val="005407A2"/>
    <w:rsid w:val="00543DD3"/>
    <w:rsid w:val="005440C8"/>
    <w:rsid w:val="00545DD8"/>
    <w:rsid w:val="00546AC5"/>
    <w:rsid w:val="00550D33"/>
    <w:rsid w:val="00553C66"/>
    <w:rsid w:val="0055480C"/>
    <w:rsid w:val="00556F64"/>
    <w:rsid w:val="0055711D"/>
    <w:rsid w:val="00557E74"/>
    <w:rsid w:val="005605F8"/>
    <w:rsid w:val="00560CF5"/>
    <w:rsid w:val="0056243D"/>
    <w:rsid w:val="005624AC"/>
    <w:rsid w:val="005638D3"/>
    <w:rsid w:val="005644C7"/>
    <w:rsid w:val="005659B1"/>
    <w:rsid w:val="00565D96"/>
    <w:rsid w:val="00566507"/>
    <w:rsid w:val="00567014"/>
    <w:rsid w:val="00567935"/>
    <w:rsid w:val="005706CF"/>
    <w:rsid w:val="0057088D"/>
    <w:rsid w:val="00572498"/>
    <w:rsid w:val="0057344D"/>
    <w:rsid w:val="005745F2"/>
    <w:rsid w:val="0057487F"/>
    <w:rsid w:val="00575375"/>
    <w:rsid w:val="00576758"/>
    <w:rsid w:val="00576E95"/>
    <w:rsid w:val="00582C9D"/>
    <w:rsid w:val="00583B68"/>
    <w:rsid w:val="00583CCA"/>
    <w:rsid w:val="00584AC4"/>
    <w:rsid w:val="005862F3"/>
    <w:rsid w:val="00587B40"/>
    <w:rsid w:val="00591183"/>
    <w:rsid w:val="005911C1"/>
    <w:rsid w:val="00591DBA"/>
    <w:rsid w:val="00597021"/>
    <w:rsid w:val="005A1354"/>
    <w:rsid w:val="005A1C24"/>
    <w:rsid w:val="005A20F5"/>
    <w:rsid w:val="005A4995"/>
    <w:rsid w:val="005A54A8"/>
    <w:rsid w:val="005A5541"/>
    <w:rsid w:val="005A617D"/>
    <w:rsid w:val="005A6747"/>
    <w:rsid w:val="005A69D2"/>
    <w:rsid w:val="005B0081"/>
    <w:rsid w:val="005B27EA"/>
    <w:rsid w:val="005B2B50"/>
    <w:rsid w:val="005B304F"/>
    <w:rsid w:val="005B50D5"/>
    <w:rsid w:val="005B594C"/>
    <w:rsid w:val="005B6548"/>
    <w:rsid w:val="005B7A6E"/>
    <w:rsid w:val="005B7EAD"/>
    <w:rsid w:val="005C3C7C"/>
    <w:rsid w:val="005C3E06"/>
    <w:rsid w:val="005C5B46"/>
    <w:rsid w:val="005C74B5"/>
    <w:rsid w:val="005C7511"/>
    <w:rsid w:val="005C7805"/>
    <w:rsid w:val="005D039D"/>
    <w:rsid w:val="005D1AB0"/>
    <w:rsid w:val="005D1F27"/>
    <w:rsid w:val="005D4B56"/>
    <w:rsid w:val="005D4EDE"/>
    <w:rsid w:val="005D5237"/>
    <w:rsid w:val="005E1470"/>
    <w:rsid w:val="005E1B96"/>
    <w:rsid w:val="005E1D77"/>
    <w:rsid w:val="005E32EA"/>
    <w:rsid w:val="005E674B"/>
    <w:rsid w:val="005E6920"/>
    <w:rsid w:val="005E6B75"/>
    <w:rsid w:val="005E7B50"/>
    <w:rsid w:val="005F1321"/>
    <w:rsid w:val="005F1D09"/>
    <w:rsid w:val="005F26A7"/>
    <w:rsid w:val="005F53B2"/>
    <w:rsid w:val="005F5F10"/>
    <w:rsid w:val="005F6774"/>
    <w:rsid w:val="00601864"/>
    <w:rsid w:val="00602064"/>
    <w:rsid w:val="00606837"/>
    <w:rsid w:val="00606863"/>
    <w:rsid w:val="00606EBD"/>
    <w:rsid w:val="0061060F"/>
    <w:rsid w:val="0061067F"/>
    <w:rsid w:val="006106B2"/>
    <w:rsid w:val="00613D61"/>
    <w:rsid w:val="00614523"/>
    <w:rsid w:val="006161C9"/>
    <w:rsid w:val="00616263"/>
    <w:rsid w:val="0061656B"/>
    <w:rsid w:val="006168CE"/>
    <w:rsid w:val="00616D93"/>
    <w:rsid w:val="00617338"/>
    <w:rsid w:val="00621CA2"/>
    <w:rsid w:val="00627266"/>
    <w:rsid w:val="00627931"/>
    <w:rsid w:val="006315E2"/>
    <w:rsid w:val="00631EA5"/>
    <w:rsid w:val="00632F22"/>
    <w:rsid w:val="006330DF"/>
    <w:rsid w:val="00634901"/>
    <w:rsid w:val="006403D3"/>
    <w:rsid w:val="0064261D"/>
    <w:rsid w:val="006455DA"/>
    <w:rsid w:val="006507AC"/>
    <w:rsid w:val="006509AC"/>
    <w:rsid w:val="0065435C"/>
    <w:rsid w:val="0065484B"/>
    <w:rsid w:val="0065586A"/>
    <w:rsid w:val="00656F5D"/>
    <w:rsid w:val="00657FEB"/>
    <w:rsid w:val="006613E7"/>
    <w:rsid w:val="00661599"/>
    <w:rsid w:val="00666EF1"/>
    <w:rsid w:val="006704E6"/>
    <w:rsid w:val="0067140F"/>
    <w:rsid w:val="00673254"/>
    <w:rsid w:val="006757DB"/>
    <w:rsid w:val="00680683"/>
    <w:rsid w:val="00681FC6"/>
    <w:rsid w:val="0068634C"/>
    <w:rsid w:val="00686725"/>
    <w:rsid w:val="00690FDE"/>
    <w:rsid w:val="0069268C"/>
    <w:rsid w:val="0069386B"/>
    <w:rsid w:val="00695095"/>
    <w:rsid w:val="00695139"/>
    <w:rsid w:val="0069559E"/>
    <w:rsid w:val="00695FA0"/>
    <w:rsid w:val="006A0DD2"/>
    <w:rsid w:val="006A1D2E"/>
    <w:rsid w:val="006A2645"/>
    <w:rsid w:val="006A2AFA"/>
    <w:rsid w:val="006A341D"/>
    <w:rsid w:val="006A4643"/>
    <w:rsid w:val="006A58DB"/>
    <w:rsid w:val="006A606D"/>
    <w:rsid w:val="006A62B2"/>
    <w:rsid w:val="006A7883"/>
    <w:rsid w:val="006B027E"/>
    <w:rsid w:val="006B0BBB"/>
    <w:rsid w:val="006B23BD"/>
    <w:rsid w:val="006C0134"/>
    <w:rsid w:val="006C117B"/>
    <w:rsid w:val="006C11E0"/>
    <w:rsid w:val="006C2AC8"/>
    <w:rsid w:val="006C40E9"/>
    <w:rsid w:val="006C54D8"/>
    <w:rsid w:val="006C6348"/>
    <w:rsid w:val="006D108B"/>
    <w:rsid w:val="006D2A60"/>
    <w:rsid w:val="006D40FF"/>
    <w:rsid w:val="006D4504"/>
    <w:rsid w:val="006D51AB"/>
    <w:rsid w:val="006D718F"/>
    <w:rsid w:val="006D76B4"/>
    <w:rsid w:val="006E2D52"/>
    <w:rsid w:val="006E48F0"/>
    <w:rsid w:val="006E5832"/>
    <w:rsid w:val="006E590E"/>
    <w:rsid w:val="006E76AC"/>
    <w:rsid w:val="006F1068"/>
    <w:rsid w:val="006F1AC9"/>
    <w:rsid w:val="006F264A"/>
    <w:rsid w:val="006F5A59"/>
    <w:rsid w:val="006F7028"/>
    <w:rsid w:val="007002E9"/>
    <w:rsid w:val="00701D75"/>
    <w:rsid w:val="00701FDB"/>
    <w:rsid w:val="00703712"/>
    <w:rsid w:val="007048C7"/>
    <w:rsid w:val="00704BCA"/>
    <w:rsid w:val="00704CAB"/>
    <w:rsid w:val="00705937"/>
    <w:rsid w:val="00706EAF"/>
    <w:rsid w:val="00707234"/>
    <w:rsid w:val="00707847"/>
    <w:rsid w:val="00710664"/>
    <w:rsid w:val="007113A9"/>
    <w:rsid w:val="0071532B"/>
    <w:rsid w:val="007161A3"/>
    <w:rsid w:val="00716AC3"/>
    <w:rsid w:val="00720ACF"/>
    <w:rsid w:val="00720F9B"/>
    <w:rsid w:val="007219FD"/>
    <w:rsid w:val="0072331C"/>
    <w:rsid w:val="007247FD"/>
    <w:rsid w:val="0072742B"/>
    <w:rsid w:val="00727887"/>
    <w:rsid w:val="00727A02"/>
    <w:rsid w:val="007342D6"/>
    <w:rsid w:val="00734349"/>
    <w:rsid w:val="0073480C"/>
    <w:rsid w:val="00734EF6"/>
    <w:rsid w:val="007363DB"/>
    <w:rsid w:val="00737CF2"/>
    <w:rsid w:val="00737EDD"/>
    <w:rsid w:val="00740D41"/>
    <w:rsid w:val="00741037"/>
    <w:rsid w:val="00741D39"/>
    <w:rsid w:val="00741D4A"/>
    <w:rsid w:val="00741FC1"/>
    <w:rsid w:val="00742782"/>
    <w:rsid w:val="007427A6"/>
    <w:rsid w:val="007440FE"/>
    <w:rsid w:val="0074521E"/>
    <w:rsid w:val="00746594"/>
    <w:rsid w:val="00750782"/>
    <w:rsid w:val="00753DB0"/>
    <w:rsid w:val="00754377"/>
    <w:rsid w:val="00755125"/>
    <w:rsid w:val="0076048F"/>
    <w:rsid w:val="00761147"/>
    <w:rsid w:val="0076489F"/>
    <w:rsid w:val="007648D9"/>
    <w:rsid w:val="007669B4"/>
    <w:rsid w:val="00770908"/>
    <w:rsid w:val="007714FD"/>
    <w:rsid w:val="007716DA"/>
    <w:rsid w:val="0077592F"/>
    <w:rsid w:val="007768B8"/>
    <w:rsid w:val="00782569"/>
    <w:rsid w:val="00784228"/>
    <w:rsid w:val="00786478"/>
    <w:rsid w:val="007915E7"/>
    <w:rsid w:val="00794BB9"/>
    <w:rsid w:val="0079571D"/>
    <w:rsid w:val="0079584E"/>
    <w:rsid w:val="00795992"/>
    <w:rsid w:val="007A077E"/>
    <w:rsid w:val="007A18FB"/>
    <w:rsid w:val="007A3C35"/>
    <w:rsid w:val="007A683D"/>
    <w:rsid w:val="007B012B"/>
    <w:rsid w:val="007B124D"/>
    <w:rsid w:val="007B2F80"/>
    <w:rsid w:val="007B463E"/>
    <w:rsid w:val="007B7E30"/>
    <w:rsid w:val="007C05D6"/>
    <w:rsid w:val="007C067D"/>
    <w:rsid w:val="007C2727"/>
    <w:rsid w:val="007C6679"/>
    <w:rsid w:val="007D0C4D"/>
    <w:rsid w:val="007D14F3"/>
    <w:rsid w:val="007D1B81"/>
    <w:rsid w:val="007D2A6D"/>
    <w:rsid w:val="007D401E"/>
    <w:rsid w:val="007D4E4F"/>
    <w:rsid w:val="007D55AD"/>
    <w:rsid w:val="007D733F"/>
    <w:rsid w:val="007D7942"/>
    <w:rsid w:val="007D7AE4"/>
    <w:rsid w:val="007E0469"/>
    <w:rsid w:val="007E139C"/>
    <w:rsid w:val="007E1631"/>
    <w:rsid w:val="007E37C1"/>
    <w:rsid w:val="007E4AC6"/>
    <w:rsid w:val="007E5E61"/>
    <w:rsid w:val="007F20A8"/>
    <w:rsid w:val="007F2F5B"/>
    <w:rsid w:val="007F2FA1"/>
    <w:rsid w:val="007F4F46"/>
    <w:rsid w:val="007F72FF"/>
    <w:rsid w:val="008000E7"/>
    <w:rsid w:val="00800282"/>
    <w:rsid w:val="0080057E"/>
    <w:rsid w:val="00801975"/>
    <w:rsid w:val="008048CB"/>
    <w:rsid w:val="00804A2D"/>
    <w:rsid w:val="00805FA2"/>
    <w:rsid w:val="008151A2"/>
    <w:rsid w:val="00821BBC"/>
    <w:rsid w:val="0082266A"/>
    <w:rsid w:val="00823970"/>
    <w:rsid w:val="00823DFF"/>
    <w:rsid w:val="00823E0F"/>
    <w:rsid w:val="008253A7"/>
    <w:rsid w:val="008254F9"/>
    <w:rsid w:val="00826DC4"/>
    <w:rsid w:val="00826E5E"/>
    <w:rsid w:val="008329C1"/>
    <w:rsid w:val="00834783"/>
    <w:rsid w:val="008355F1"/>
    <w:rsid w:val="008378C6"/>
    <w:rsid w:val="0084123D"/>
    <w:rsid w:val="00842001"/>
    <w:rsid w:val="008431B1"/>
    <w:rsid w:val="008433B2"/>
    <w:rsid w:val="00851014"/>
    <w:rsid w:val="00851596"/>
    <w:rsid w:val="00855990"/>
    <w:rsid w:val="00856215"/>
    <w:rsid w:val="0086059A"/>
    <w:rsid w:val="00862657"/>
    <w:rsid w:val="00864AEB"/>
    <w:rsid w:val="0086656C"/>
    <w:rsid w:val="00866DB6"/>
    <w:rsid w:val="00866FDA"/>
    <w:rsid w:val="00867099"/>
    <w:rsid w:val="00872534"/>
    <w:rsid w:val="00874129"/>
    <w:rsid w:val="00875B8F"/>
    <w:rsid w:val="0087623B"/>
    <w:rsid w:val="008835B5"/>
    <w:rsid w:val="00884E67"/>
    <w:rsid w:val="00884F80"/>
    <w:rsid w:val="00885178"/>
    <w:rsid w:val="00886147"/>
    <w:rsid w:val="00886EFB"/>
    <w:rsid w:val="008939B7"/>
    <w:rsid w:val="00893A06"/>
    <w:rsid w:val="00894690"/>
    <w:rsid w:val="00894F58"/>
    <w:rsid w:val="00895F5A"/>
    <w:rsid w:val="00896BAD"/>
    <w:rsid w:val="008976B0"/>
    <w:rsid w:val="00897B8A"/>
    <w:rsid w:val="008A067F"/>
    <w:rsid w:val="008A1577"/>
    <w:rsid w:val="008A26E0"/>
    <w:rsid w:val="008A2758"/>
    <w:rsid w:val="008A3F1F"/>
    <w:rsid w:val="008A7A95"/>
    <w:rsid w:val="008B018C"/>
    <w:rsid w:val="008B0E11"/>
    <w:rsid w:val="008B0EFC"/>
    <w:rsid w:val="008B13DF"/>
    <w:rsid w:val="008B2479"/>
    <w:rsid w:val="008B33DA"/>
    <w:rsid w:val="008B3B9A"/>
    <w:rsid w:val="008B420E"/>
    <w:rsid w:val="008C2375"/>
    <w:rsid w:val="008C361F"/>
    <w:rsid w:val="008C4D52"/>
    <w:rsid w:val="008C5E00"/>
    <w:rsid w:val="008C5F47"/>
    <w:rsid w:val="008C6CE6"/>
    <w:rsid w:val="008C6CEA"/>
    <w:rsid w:val="008C6E5D"/>
    <w:rsid w:val="008C74D0"/>
    <w:rsid w:val="008C79A0"/>
    <w:rsid w:val="008D0311"/>
    <w:rsid w:val="008D1019"/>
    <w:rsid w:val="008D4E7F"/>
    <w:rsid w:val="008D7635"/>
    <w:rsid w:val="008E0419"/>
    <w:rsid w:val="008E142B"/>
    <w:rsid w:val="008E259A"/>
    <w:rsid w:val="008E5542"/>
    <w:rsid w:val="008E7424"/>
    <w:rsid w:val="008E7BC0"/>
    <w:rsid w:val="008F12C2"/>
    <w:rsid w:val="008F2233"/>
    <w:rsid w:val="008F2860"/>
    <w:rsid w:val="00900149"/>
    <w:rsid w:val="0090050B"/>
    <w:rsid w:val="00900F46"/>
    <w:rsid w:val="00901F08"/>
    <w:rsid w:val="00902E2D"/>
    <w:rsid w:val="00912F9D"/>
    <w:rsid w:val="00917C88"/>
    <w:rsid w:val="009231F6"/>
    <w:rsid w:val="00924B0A"/>
    <w:rsid w:val="0092604A"/>
    <w:rsid w:val="009267E2"/>
    <w:rsid w:val="00927B9D"/>
    <w:rsid w:val="0093081A"/>
    <w:rsid w:val="00930D06"/>
    <w:rsid w:val="009352CD"/>
    <w:rsid w:val="0093634A"/>
    <w:rsid w:val="00936FFA"/>
    <w:rsid w:val="0094238F"/>
    <w:rsid w:val="00942EB0"/>
    <w:rsid w:val="009439AF"/>
    <w:rsid w:val="00943BA6"/>
    <w:rsid w:val="00943DA6"/>
    <w:rsid w:val="0094504D"/>
    <w:rsid w:val="0094632B"/>
    <w:rsid w:val="00946957"/>
    <w:rsid w:val="00947C8E"/>
    <w:rsid w:val="00950527"/>
    <w:rsid w:val="00950767"/>
    <w:rsid w:val="0095166F"/>
    <w:rsid w:val="0095329E"/>
    <w:rsid w:val="00953555"/>
    <w:rsid w:val="00955565"/>
    <w:rsid w:val="009577B5"/>
    <w:rsid w:val="0096268F"/>
    <w:rsid w:val="00965A62"/>
    <w:rsid w:val="00965D00"/>
    <w:rsid w:val="009719B2"/>
    <w:rsid w:val="00973CAA"/>
    <w:rsid w:val="00974240"/>
    <w:rsid w:val="00974824"/>
    <w:rsid w:val="0097571B"/>
    <w:rsid w:val="00975969"/>
    <w:rsid w:val="00976908"/>
    <w:rsid w:val="0098078E"/>
    <w:rsid w:val="00980B9F"/>
    <w:rsid w:val="00980FBB"/>
    <w:rsid w:val="0098287D"/>
    <w:rsid w:val="00984FD1"/>
    <w:rsid w:val="009855D1"/>
    <w:rsid w:val="00986134"/>
    <w:rsid w:val="00986BBD"/>
    <w:rsid w:val="00986FE6"/>
    <w:rsid w:val="0098723F"/>
    <w:rsid w:val="009872F4"/>
    <w:rsid w:val="00990055"/>
    <w:rsid w:val="00990CA2"/>
    <w:rsid w:val="00990FD1"/>
    <w:rsid w:val="00993C1F"/>
    <w:rsid w:val="00994D65"/>
    <w:rsid w:val="009966F9"/>
    <w:rsid w:val="00997AB0"/>
    <w:rsid w:val="009A12AA"/>
    <w:rsid w:val="009A1E72"/>
    <w:rsid w:val="009A3D03"/>
    <w:rsid w:val="009A4CAE"/>
    <w:rsid w:val="009A4CDA"/>
    <w:rsid w:val="009A51BB"/>
    <w:rsid w:val="009A6B8F"/>
    <w:rsid w:val="009A71BC"/>
    <w:rsid w:val="009B2BBC"/>
    <w:rsid w:val="009B6EC4"/>
    <w:rsid w:val="009C14B3"/>
    <w:rsid w:val="009C2746"/>
    <w:rsid w:val="009C4155"/>
    <w:rsid w:val="009C659B"/>
    <w:rsid w:val="009C6E63"/>
    <w:rsid w:val="009C7FAA"/>
    <w:rsid w:val="009D14AD"/>
    <w:rsid w:val="009D3C28"/>
    <w:rsid w:val="009D529D"/>
    <w:rsid w:val="009D7E2C"/>
    <w:rsid w:val="009E0646"/>
    <w:rsid w:val="009E09E7"/>
    <w:rsid w:val="009E124B"/>
    <w:rsid w:val="009E5567"/>
    <w:rsid w:val="009E643C"/>
    <w:rsid w:val="009E78A6"/>
    <w:rsid w:val="009F044C"/>
    <w:rsid w:val="009F0F5B"/>
    <w:rsid w:val="009F2B56"/>
    <w:rsid w:val="009F616F"/>
    <w:rsid w:val="009F70E2"/>
    <w:rsid w:val="00A00A4E"/>
    <w:rsid w:val="00A00E57"/>
    <w:rsid w:val="00A01813"/>
    <w:rsid w:val="00A01C54"/>
    <w:rsid w:val="00A02A77"/>
    <w:rsid w:val="00A03141"/>
    <w:rsid w:val="00A03947"/>
    <w:rsid w:val="00A07813"/>
    <w:rsid w:val="00A07C12"/>
    <w:rsid w:val="00A07F35"/>
    <w:rsid w:val="00A11959"/>
    <w:rsid w:val="00A11E9C"/>
    <w:rsid w:val="00A127AE"/>
    <w:rsid w:val="00A14342"/>
    <w:rsid w:val="00A1574E"/>
    <w:rsid w:val="00A159F6"/>
    <w:rsid w:val="00A16681"/>
    <w:rsid w:val="00A173D0"/>
    <w:rsid w:val="00A1748D"/>
    <w:rsid w:val="00A17508"/>
    <w:rsid w:val="00A17C1D"/>
    <w:rsid w:val="00A21144"/>
    <w:rsid w:val="00A23CD5"/>
    <w:rsid w:val="00A2563A"/>
    <w:rsid w:val="00A25C65"/>
    <w:rsid w:val="00A25E52"/>
    <w:rsid w:val="00A25F98"/>
    <w:rsid w:val="00A2731C"/>
    <w:rsid w:val="00A306AA"/>
    <w:rsid w:val="00A363EA"/>
    <w:rsid w:val="00A3726E"/>
    <w:rsid w:val="00A376E3"/>
    <w:rsid w:val="00A4710C"/>
    <w:rsid w:val="00A51678"/>
    <w:rsid w:val="00A51C36"/>
    <w:rsid w:val="00A53647"/>
    <w:rsid w:val="00A537E5"/>
    <w:rsid w:val="00A54A81"/>
    <w:rsid w:val="00A561FC"/>
    <w:rsid w:val="00A56380"/>
    <w:rsid w:val="00A56752"/>
    <w:rsid w:val="00A56F14"/>
    <w:rsid w:val="00A62274"/>
    <w:rsid w:val="00A62EDF"/>
    <w:rsid w:val="00A644A5"/>
    <w:rsid w:val="00A64A45"/>
    <w:rsid w:val="00A65073"/>
    <w:rsid w:val="00A720F3"/>
    <w:rsid w:val="00A74768"/>
    <w:rsid w:val="00A76E4B"/>
    <w:rsid w:val="00A77EDA"/>
    <w:rsid w:val="00A80658"/>
    <w:rsid w:val="00A82186"/>
    <w:rsid w:val="00A82EB8"/>
    <w:rsid w:val="00A861BA"/>
    <w:rsid w:val="00A869E4"/>
    <w:rsid w:val="00A86BF7"/>
    <w:rsid w:val="00A87837"/>
    <w:rsid w:val="00A90368"/>
    <w:rsid w:val="00A90478"/>
    <w:rsid w:val="00A9408E"/>
    <w:rsid w:val="00A944FF"/>
    <w:rsid w:val="00A94FC9"/>
    <w:rsid w:val="00A954C5"/>
    <w:rsid w:val="00A97952"/>
    <w:rsid w:val="00AA0CD0"/>
    <w:rsid w:val="00AA14AF"/>
    <w:rsid w:val="00AA2B93"/>
    <w:rsid w:val="00AA2DC8"/>
    <w:rsid w:val="00AA3222"/>
    <w:rsid w:val="00AA35BA"/>
    <w:rsid w:val="00AA419D"/>
    <w:rsid w:val="00AA446F"/>
    <w:rsid w:val="00AA5371"/>
    <w:rsid w:val="00AA715F"/>
    <w:rsid w:val="00AA7DA1"/>
    <w:rsid w:val="00AB2C54"/>
    <w:rsid w:val="00AB4CE3"/>
    <w:rsid w:val="00AB5A65"/>
    <w:rsid w:val="00AB601C"/>
    <w:rsid w:val="00AC0A9D"/>
    <w:rsid w:val="00AC1C08"/>
    <w:rsid w:val="00AC2021"/>
    <w:rsid w:val="00AC26F8"/>
    <w:rsid w:val="00AC30B0"/>
    <w:rsid w:val="00AC4045"/>
    <w:rsid w:val="00AC52B2"/>
    <w:rsid w:val="00AC6116"/>
    <w:rsid w:val="00AC7795"/>
    <w:rsid w:val="00AD031F"/>
    <w:rsid w:val="00AD3BC8"/>
    <w:rsid w:val="00AD471D"/>
    <w:rsid w:val="00AD4A2F"/>
    <w:rsid w:val="00AD5134"/>
    <w:rsid w:val="00AD6229"/>
    <w:rsid w:val="00AE0E0B"/>
    <w:rsid w:val="00AF2245"/>
    <w:rsid w:val="00AF4443"/>
    <w:rsid w:val="00AF6AFC"/>
    <w:rsid w:val="00B01CB1"/>
    <w:rsid w:val="00B02038"/>
    <w:rsid w:val="00B04786"/>
    <w:rsid w:val="00B052C9"/>
    <w:rsid w:val="00B0541D"/>
    <w:rsid w:val="00B0747B"/>
    <w:rsid w:val="00B07AC5"/>
    <w:rsid w:val="00B11D01"/>
    <w:rsid w:val="00B132B8"/>
    <w:rsid w:val="00B15143"/>
    <w:rsid w:val="00B16B90"/>
    <w:rsid w:val="00B17969"/>
    <w:rsid w:val="00B20528"/>
    <w:rsid w:val="00B20D10"/>
    <w:rsid w:val="00B22316"/>
    <w:rsid w:val="00B2334F"/>
    <w:rsid w:val="00B23FA0"/>
    <w:rsid w:val="00B26D4C"/>
    <w:rsid w:val="00B2759E"/>
    <w:rsid w:val="00B33166"/>
    <w:rsid w:val="00B33E39"/>
    <w:rsid w:val="00B3451F"/>
    <w:rsid w:val="00B360E8"/>
    <w:rsid w:val="00B40C63"/>
    <w:rsid w:val="00B40F6D"/>
    <w:rsid w:val="00B422F9"/>
    <w:rsid w:val="00B4488B"/>
    <w:rsid w:val="00B44CCD"/>
    <w:rsid w:val="00B47B29"/>
    <w:rsid w:val="00B50447"/>
    <w:rsid w:val="00B504DA"/>
    <w:rsid w:val="00B5081B"/>
    <w:rsid w:val="00B50A25"/>
    <w:rsid w:val="00B52557"/>
    <w:rsid w:val="00B5698E"/>
    <w:rsid w:val="00B614D7"/>
    <w:rsid w:val="00B661F7"/>
    <w:rsid w:val="00B72621"/>
    <w:rsid w:val="00B7362F"/>
    <w:rsid w:val="00B74C33"/>
    <w:rsid w:val="00B831F1"/>
    <w:rsid w:val="00B83868"/>
    <w:rsid w:val="00B84598"/>
    <w:rsid w:val="00B854A3"/>
    <w:rsid w:val="00B85746"/>
    <w:rsid w:val="00B858E7"/>
    <w:rsid w:val="00B865E5"/>
    <w:rsid w:val="00B87152"/>
    <w:rsid w:val="00B9137D"/>
    <w:rsid w:val="00B91C51"/>
    <w:rsid w:val="00B91C5E"/>
    <w:rsid w:val="00B91E18"/>
    <w:rsid w:val="00B9331C"/>
    <w:rsid w:val="00B93382"/>
    <w:rsid w:val="00B93868"/>
    <w:rsid w:val="00B95CEA"/>
    <w:rsid w:val="00B96408"/>
    <w:rsid w:val="00BA3FA1"/>
    <w:rsid w:val="00BA64AE"/>
    <w:rsid w:val="00BA7802"/>
    <w:rsid w:val="00BB17C7"/>
    <w:rsid w:val="00BB1D34"/>
    <w:rsid w:val="00BB2D95"/>
    <w:rsid w:val="00BB2E9E"/>
    <w:rsid w:val="00BB42F3"/>
    <w:rsid w:val="00BB5EDD"/>
    <w:rsid w:val="00BB6D5C"/>
    <w:rsid w:val="00BB7527"/>
    <w:rsid w:val="00BB794B"/>
    <w:rsid w:val="00BB7A98"/>
    <w:rsid w:val="00BB7D22"/>
    <w:rsid w:val="00BC01B0"/>
    <w:rsid w:val="00BC1E62"/>
    <w:rsid w:val="00BC4756"/>
    <w:rsid w:val="00BC621B"/>
    <w:rsid w:val="00BD0616"/>
    <w:rsid w:val="00BD127C"/>
    <w:rsid w:val="00BD1667"/>
    <w:rsid w:val="00BD2580"/>
    <w:rsid w:val="00BD2FDC"/>
    <w:rsid w:val="00BD3721"/>
    <w:rsid w:val="00BD3B33"/>
    <w:rsid w:val="00BD48B2"/>
    <w:rsid w:val="00BD4E4A"/>
    <w:rsid w:val="00BD576C"/>
    <w:rsid w:val="00BD6797"/>
    <w:rsid w:val="00BE1354"/>
    <w:rsid w:val="00BE1623"/>
    <w:rsid w:val="00BE1EA8"/>
    <w:rsid w:val="00BE210A"/>
    <w:rsid w:val="00BE3F0C"/>
    <w:rsid w:val="00BE48B2"/>
    <w:rsid w:val="00BE5D15"/>
    <w:rsid w:val="00BF0367"/>
    <w:rsid w:val="00BF11C9"/>
    <w:rsid w:val="00BF186E"/>
    <w:rsid w:val="00BF256D"/>
    <w:rsid w:val="00BF4DF3"/>
    <w:rsid w:val="00BF6C48"/>
    <w:rsid w:val="00C03D77"/>
    <w:rsid w:val="00C07264"/>
    <w:rsid w:val="00C0735A"/>
    <w:rsid w:val="00C11E0D"/>
    <w:rsid w:val="00C130FC"/>
    <w:rsid w:val="00C13940"/>
    <w:rsid w:val="00C142DE"/>
    <w:rsid w:val="00C15504"/>
    <w:rsid w:val="00C1607A"/>
    <w:rsid w:val="00C17F1B"/>
    <w:rsid w:val="00C214BB"/>
    <w:rsid w:val="00C22A04"/>
    <w:rsid w:val="00C248C3"/>
    <w:rsid w:val="00C27351"/>
    <w:rsid w:val="00C33662"/>
    <w:rsid w:val="00C3528D"/>
    <w:rsid w:val="00C3593C"/>
    <w:rsid w:val="00C369F2"/>
    <w:rsid w:val="00C36E5D"/>
    <w:rsid w:val="00C40246"/>
    <w:rsid w:val="00C41099"/>
    <w:rsid w:val="00C41A50"/>
    <w:rsid w:val="00C426A5"/>
    <w:rsid w:val="00C42E77"/>
    <w:rsid w:val="00C42FFA"/>
    <w:rsid w:val="00C47BAB"/>
    <w:rsid w:val="00C50F0E"/>
    <w:rsid w:val="00C532C9"/>
    <w:rsid w:val="00C539C4"/>
    <w:rsid w:val="00C5441D"/>
    <w:rsid w:val="00C55354"/>
    <w:rsid w:val="00C60CCD"/>
    <w:rsid w:val="00C618C7"/>
    <w:rsid w:val="00C61E91"/>
    <w:rsid w:val="00C62125"/>
    <w:rsid w:val="00C621C7"/>
    <w:rsid w:val="00C621DA"/>
    <w:rsid w:val="00C62D06"/>
    <w:rsid w:val="00C63160"/>
    <w:rsid w:val="00C67984"/>
    <w:rsid w:val="00C67FC6"/>
    <w:rsid w:val="00C70853"/>
    <w:rsid w:val="00C72299"/>
    <w:rsid w:val="00C75BC4"/>
    <w:rsid w:val="00C82012"/>
    <w:rsid w:val="00C82437"/>
    <w:rsid w:val="00C840C7"/>
    <w:rsid w:val="00C84A2C"/>
    <w:rsid w:val="00C8566C"/>
    <w:rsid w:val="00C86E03"/>
    <w:rsid w:val="00C87758"/>
    <w:rsid w:val="00C87D83"/>
    <w:rsid w:val="00C90AD1"/>
    <w:rsid w:val="00C90E8E"/>
    <w:rsid w:val="00C91B5A"/>
    <w:rsid w:val="00C96E9D"/>
    <w:rsid w:val="00C973E3"/>
    <w:rsid w:val="00CA4C0E"/>
    <w:rsid w:val="00CB46F4"/>
    <w:rsid w:val="00CB6DCC"/>
    <w:rsid w:val="00CB7569"/>
    <w:rsid w:val="00CB7741"/>
    <w:rsid w:val="00CC2657"/>
    <w:rsid w:val="00CC505B"/>
    <w:rsid w:val="00CC5839"/>
    <w:rsid w:val="00CD13C8"/>
    <w:rsid w:val="00CD2D09"/>
    <w:rsid w:val="00CD2F67"/>
    <w:rsid w:val="00CD424E"/>
    <w:rsid w:val="00CD48E8"/>
    <w:rsid w:val="00CD5B36"/>
    <w:rsid w:val="00CD5E48"/>
    <w:rsid w:val="00CD636E"/>
    <w:rsid w:val="00CE0B9F"/>
    <w:rsid w:val="00CE3B29"/>
    <w:rsid w:val="00CE6F3A"/>
    <w:rsid w:val="00CF1A60"/>
    <w:rsid w:val="00CF24BF"/>
    <w:rsid w:val="00CF33DA"/>
    <w:rsid w:val="00CF4133"/>
    <w:rsid w:val="00CF62FB"/>
    <w:rsid w:val="00CF6A43"/>
    <w:rsid w:val="00D005D2"/>
    <w:rsid w:val="00D01145"/>
    <w:rsid w:val="00D01231"/>
    <w:rsid w:val="00D0325B"/>
    <w:rsid w:val="00D04CB3"/>
    <w:rsid w:val="00D05511"/>
    <w:rsid w:val="00D070F9"/>
    <w:rsid w:val="00D13C62"/>
    <w:rsid w:val="00D15C00"/>
    <w:rsid w:val="00D16280"/>
    <w:rsid w:val="00D20068"/>
    <w:rsid w:val="00D201EB"/>
    <w:rsid w:val="00D207C7"/>
    <w:rsid w:val="00D231BC"/>
    <w:rsid w:val="00D234E8"/>
    <w:rsid w:val="00D247B9"/>
    <w:rsid w:val="00D25CDD"/>
    <w:rsid w:val="00D27D88"/>
    <w:rsid w:val="00D27E49"/>
    <w:rsid w:val="00D27FA0"/>
    <w:rsid w:val="00D300B6"/>
    <w:rsid w:val="00D308B0"/>
    <w:rsid w:val="00D313CA"/>
    <w:rsid w:val="00D315A9"/>
    <w:rsid w:val="00D331EC"/>
    <w:rsid w:val="00D334B6"/>
    <w:rsid w:val="00D338BD"/>
    <w:rsid w:val="00D341A3"/>
    <w:rsid w:val="00D35C13"/>
    <w:rsid w:val="00D414FA"/>
    <w:rsid w:val="00D42550"/>
    <w:rsid w:val="00D4400B"/>
    <w:rsid w:val="00D47412"/>
    <w:rsid w:val="00D505F5"/>
    <w:rsid w:val="00D5072B"/>
    <w:rsid w:val="00D50B51"/>
    <w:rsid w:val="00D52788"/>
    <w:rsid w:val="00D55CAF"/>
    <w:rsid w:val="00D57210"/>
    <w:rsid w:val="00D61494"/>
    <w:rsid w:val="00D64778"/>
    <w:rsid w:val="00D6539E"/>
    <w:rsid w:val="00D72B8F"/>
    <w:rsid w:val="00D73048"/>
    <w:rsid w:val="00D7317C"/>
    <w:rsid w:val="00D73394"/>
    <w:rsid w:val="00D73714"/>
    <w:rsid w:val="00D768B9"/>
    <w:rsid w:val="00D76C17"/>
    <w:rsid w:val="00D777C5"/>
    <w:rsid w:val="00D805A6"/>
    <w:rsid w:val="00D81770"/>
    <w:rsid w:val="00D81AE5"/>
    <w:rsid w:val="00D84673"/>
    <w:rsid w:val="00D8645E"/>
    <w:rsid w:val="00D928C2"/>
    <w:rsid w:val="00D932FF"/>
    <w:rsid w:val="00D93833"/>
    <w:rsid w:val="00D963EF"/>
    <w:rsid w:val="00DA1068"/>
    <w:rsid w:val="00DA2249"/>
    <w:rsid w:val="00DA30A3"/>
    <w:rsid w:val="00DA3662"/>
    <w:rsid w:val="00DA3BB5"/>
    <w:rsid w:val="00DA4E18"/>
    <w:rsid w:val="00DA7E6D"/>
    <w:rsid w:val="00DA7E8E"/>
    <w:rsid w:val="00DB0C5F"/>
    <w:rsid w:val="00DB5930"/>
    <w:rsid w:val="00DB72E6"/>
    <w:rsid w:val="00DC00E2"/>
    <w:rsid w:val="00DC09E2"/>
    <w:rsid w:val="00DC51CA"/>
    <w:rsid w:val="00DC63DD"/>
    <w:rsid w:val="00DD035B"/>
    <w:rsid w:val="00DD0D48"/>
    <w:rsid w:val="00DD1E6C"/>
    <w:rsid w:val="00DD1EA6"/>
    <w:rsid w:val="00DD225C"/>
    <w:rsid w:val="00DD321E"/>
    <w:rsid w:val="00DD35BB"/>
    <w:rsid w:val="00DD6A4A"/>
    <w:rsid w:val="00DD7131"/>
    <w:rsid w:val="00DE0918"/>
    <w:rsid w:val="00DE0B4E"/>
    <w:rsid w:val="00DE0E63"/>
    <w:rsid w:val="00DE28BD"/>
    <w:rsid w:val="00DE58B2"/>
    <w:rsid w:val="00DE7047"/>
    <w:rsid w:val="00DE7BA1"/>
    <w:rsid w:val="00DF0F2D"/>
    <w:rsid w:val="00DF3070"/>
    <w:rsid w:val="00DF6FC2"/>
    <w:rsid w:val="00E00D67"/>
    <w:rsid w:val="00E0133A"/>
    <w:rsid w:val="00E01F71"/>
    <w:rsid w:val="00E02A3B"/>
    <w:rsid w:val="00E0416C"/>
    <w:rsid w:val="00E04357"/>
    <w:rsid w:val="00E0440F"/>
    <w:rsid w:val="00E056F2"/>
    <w:rsid w:val="00E05FE2"/>
    <w:rsid w:val="00E06892"/>
    <w:rsid w:val="00E15526"/>
    <w:rsid w:val="00E16121"/>
    <w:rsid w:val="00E1666C"/>
    <w:rsid w:val="00E20A2D"/>
    <w:rsid w:val="00E21063"/>
    <w:rsid w:val="00E24027"/>
    <w:rsid w:val="00E2412A"/>
    <w:rsid w:val="00E24A35"/>
    <w:rsid w:val="00E26BDF"/>
    <w:rsid w:val="00E27ADB"/>
    <w:rsid w:val="00E301CC"/>
    <w:rsid w:val="00E31116"/>
    <w:rsid w:val="00E351C0"/>
    <w:rsid w:val="00E35208"/>
    <w:rsid w:val="00E37C62"/>
    <w:rsid w:val="00E40FD8"/>
    <w:rsid w:val="00E42D57"/>
    <w:rsid w:val="00E46690"/>
    <w:rsid w:val="00E4776E"/>
    <w:rsid w:val="00E50755"/>
    <w:rsid w:val="00E50F4E"/>
    <w:rsid w:val="00E51815"/>
    <w:rsid w:val="00E51A56"/>
    <w:rsid w:val="00E51CF9"/>
    <w:rsid w:val="00E52236"/>
    <w:rsid w:val="00E52482"/>
    <w:rsid w:val="00E527E5"/>
    <w:rsid w:val="00E52F2A"/>
    <w:rsid w:val="00E538E9"/>
    <w:rsid w:val="00E54380"/>
    <w:rsid w:val="00E56D3D"/>
    <w:rsid w:val="00E60E8A"/>
    <w:rsid w:val="00E615A3"/>
    <w:rsid w:val="00E61B1A"/>
    <w:rsid w:val="00E646CD"/>
    <w:rsid w:val="00E657CE"/>
    <w:rsid w:val="00E662DA"/>
    <w:rsid w:val="00E66322"/>
    <w:rsid w:val="00E66FEF"/>
    <w:rsid w:val="00E67ADB"/>
    <w:rsid w:val="00E71628"/>
    <w:rsid w:val="00E72365"/>
    <w:rsid w:val="00E737F7"/>
    <w:rsid w:val="00E75FA3"/>
    <w:rsid w:val="00E76B37"/>
    <w:rsid w:val="00E81807"/>
    <w:rsid w:val="00E82DF4"/>
    <w:rsid w:val="00E83F44"/>
    <w:rsid w:val="00E910FE"/>
    <w:rsid w:val="00E9388D"/>
    <w:rsid w:val="00E94B58"/>
    <w:rsid w:val="00EA0C1B"/>
    <w:rsid w:val="00EA0C4D"/>
    <w:rsid w:val="00EA4DBA"/>
    <w:rsid w:val="00EA5590"/>
    <w:rsid w:val="00EA5633"/>
    <w:rsid w:val="00EA5871"/>
    <w:rsid w:val="00EA69E7"/>
    <w:rsid w:val="00EA6A2A"/>
    <w:rsid w:val="00EA6EFC"/>
    <w:rsid w:val="00EB06B8"/>
    <w:rsid w:val="00EB17F7"/>
    <w:rsid w:val="00EB24F9"/>
    <w:rsid w:val="00EB26BB"/>
    <w:rsid w:val="00EB3191"/>
    <w:rsid w:val="00EB3570"/>
    <w:rsid w:val="00EB3FE8"/>
    <w:rsid w:val="00EB5454"/>
    <w:rsid w:val="00EB5DB5"/>
    <w:rsid w:val="00EC1466"/>
    <w:rsid w:val="00EC438D"/>
    <w:rsid w:val="00EC47AA"/>
    <w:rsid w:val="00EC5DE6"/>
    <w:rsid w:val="00EC685E"/>
    <w:rsid w:val="00ED01F2"/>
    <w:rsid w:val="00ED03BA"/>
    <w:rsid w:val="00ED1568"/>
    <w:rsid w:val="00ED19B2"/>
    <w:rsid w:val="00ED2A5A"/>
    <w:rsid w:val="00ED36B0"/>
    <w:rsid w:val="00ED3C7E"/>
    <w:rsid w:val="00ED474E"/>
    <w:rsid w:val="00ED4D2D"/>
    <w:rsid w:val="00ED5352"/>
    <w:rsid w:val="00ED7B28"/>
    <w:rsid w:val="00EE041A"/>
    <w:rsid w:val="00EE1D99"/>
    <w:rsid w:val="00EE6929"/>
    <w:rsid w:val="00EE6E3B"/>
    <w:rsid w:val="00EE71D1"/>
    <w:rsid w:val="00EE7E5F"/>
    <w:rsid w:val="00EF094A"/>
    <w:rsid w:val="00EF2E85"/>
    <w:rsid w:val="00EF41AD"/>
    <w:rsid w:val="00EF69D9"/>
    <w:rsid w:val="00EF7926"/>
    <w:rsid w:val="00EF7C24"/>
    <w:rsid w:val="00F02998"/>
    <w:rsid w:val="00F02FD1"/>
    <w:rsid w:val="00F032BD"/>
    <w:rsid w:val="00F03650"/>
    <w:rsid w:val="00F04562"/>
    <w:rsid w:val="00F05CB4"/>
    <w:rsid w:val="00F10388"/>
    <w:rsid w:val="00F10560"/>
    <w:rsid w:val="00F12284"/>
    <w:rsid w:val="00F1368F"/>
    <w:rsid w:val="00F14C25"/>
    <w:rsid w:val="00F14D87"/>
    <w:rsid w:val="00F1513D"/>
    <w:rsid w:val="00F15B30"/>
    <w:rsid w:val="00F16A7D"/>
    <w:rsid w:val="00F207B0"/>
    <w:rsid w:val="00F213E2"/>
    <w:rsid w:val="00F214CA"/>
    <w:rsid w:val="00F22694"/>
    <w:rsid w:val="00F26AF7"/>
    <w:rsid w:val="00F26E20"/>
    <w:rsid w:val="00F30036"/>
    <w:rsid w:val="00F30A9D"/>
    <w:rsid w:val="00F33DD4"/>
    <w:rsid w:val="00F378C8"/>
    <w:rsid w:val="00F40ECE"/>
    <w:rsid w:val="00F44571"/>
    <w:rsid w:val="00F44B6F"/>
    <w:rsid w:val="00F507F3"/>
    <w:rsid w:val="00F523E6"/>
    <w:rsid w:val="00F54D09"/>
    <w:rsid w:val="00F560C4"/>
    <w:rsid w:val="00F5789C"/>
    <w:rsid w:val="00F57E5D"/>
    <w:rsid w:val="00F603A6"/>
    <w:rsid w:val="00F61501"/>
    <w:rsid w:val="00F61516"/>
    <w:rsid w:val="00F61DA4"/>
    <w:rsid w:val="00F6270E"/>
    <w:rsid w:val="00F6306C"/>
    <w:rsid w:val="00F6331B"/>
    <w:rsid w:val="00F657B3"/>
    <w:rsid w:val="00F66D82"/>
    <w:rsid w:val="00F67DE5"/>
    <w:rsid w:val="00F716A3"/>
    <w:rsid w:val="00F72442"/>
    <w:rsid w:val="00F72DCD"/>
    <w:rsid w:val="00F739FD"/>
    <w:rsid w:val="00F73A7D"/>
    <w:rsid w:val="00F80BF8"/>
    <w:rsid w:val="00F8128D"/>
    <w:rsid w:val="00F8350C"/>
    <w:rsid w:val="00F839BD"/>
    <w:rsid w:val="00F83B2E"/>
    <w:rsid w:val="00F8546B"/>
    <w:rsid w:val="00F90B82"/>
    <w:rsid w:val="00F92E97"/>
    <w:rsid w:val="00F93413"/>
    <w:rsid w:val="00F9549E"/>
    <w:rsid w:val="00F9632A"/>
    <w:rsid w:val="00F96C5D"/>
    <w:rsid w:val="00FA03CA"/>
    <w:rsid w:val="00FA0C19"/>
    <w:rsid w:val="00FB0292"/>
    <w:rsid w:val="00FB07EB"/>
    <w:rsid w:val="00FB3D4A"/>
    <w:rsid w:val="00FB448A"/>
    <w:rsid w:val="00FB5CC9"/>
    <w:rsid w:val="00FB7063"/>
    <w:rsid w:val="00FC0D8E"/>
    <w:rsid w:val="00FC1B44"/>
    <w:rsid w:val="00FC27C3"/>
    <w:rsid w:val="00FC2B97"/>
    <w:rsid w:val="00FC3E35"/>
    <w:rsid w:val="00FC4841"/>
    <w:rsid w:val="00FD0DE8"/>
    <w:rsid w:val="00FD2430"/>
    <w:rsid w:val="00FD4575"/>
    <w:rsid w:val="00FD48F1"/>
    <w:rsid w:val="00FD546E"/>
    <w:rsid w:val="00FD772E"/>
    <w:rsid w:val="00FD7FDB"/>
    <w:rsid w:val="00FE17AF"/>
    <w:rsid w:val="00FF157A"/>
    <w:rsid w:val="00FF3A6D"/>
    <w:rsid w:val="00FF4C61"/>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A98"/>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zenodo.org/record/56960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5281/zenodo.840333" TargetMode="Externa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cbi.nlm.nih.gov/bioproject/PRJNA4000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27</Pages>
  <Words>53674</Words>
  <Characters>305942</Characters>
  <Application>Microsoft Office Word</Application>
  <DocSecurity>0</DocSecurity>
  <Lines>2549</Lines>
  <Paragraphs>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1128</cp:revision>
  <cp:lastPrinted>2022-01-10T18:42:00Z</cp:lastPrinted>
  <dcterms:created xsi:type="dcterms:W3CDTF">2021-02-05T20:38:00Z</dcterms:created>
  <dcterms:modified xsi:type="dcterms:W3CDTF">2022-08-06T21:25:00Z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