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universal-ppt-agent</w:t>
      </w:r>
    </w:p>
    <w:p>
      <w:r>
        <w:t>evidence-regression source-document editable-pptx</w:t>
      </w:r>
    </w:p>
    <w:p>
      <w:r>
        <w:t>This DOCX fixture checks real text extraction and paragraph parsing.</w:t>
      </w:r>
    </w:p>
    <w:p>
      <w:r>
        <w:t>The parser should keep headings and visible text, not only the file name.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 A</w:t>
            </w:r>
          </w:p>
        </w:tc>
        <w:tc>
          <w:tcPr>
            <w:tcW w:type="dxa" w:w="4320"/>
          </w:tcPr>
          <w:p>
            <w:r>
              <w:t>Column B</w:t>
            </w:r>
          </w:p>
        </w:tc>
      </w:tr>
      <w:tr>
        <w:tc>
          <w:tcPr>
            <w:tcW w:type="dxa" w:w="4320"/>
          </w:tcPr>
          <w:p>
            <w:r>
              <w:t>source-document</w:t>
            </w:r>
          </w:p>
        </w:tc>
        <w:tc>
          <w:tcPr>
            <w:tcW w:type="dxa" w:w="4320"/>
          </w:tcPr>
          <w:p>
            <w:r>
              <w:t>editable-pptx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