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4E5F"/>
          <w:sz w:val="48"/>
          <w:szCs w:val="48"/>
        </w:rPr>
        <w:t xml:space="preserve">Incident Response Plan</w:t>
      </w:r>
    </w:p>
    <w:p>
      <w:pPr>
        <w:spacing w:after="100"/>
        <w:jc w:val="center"/>
      </w:pPr>
      <w:r>
        <w:rPr>
          <w:color w:val="555555"/>
          <w:sz w:val="28"/>
          <w:szCs w:val="28"/>
        </w:rPr>
        <w:t xml:space="preserve">Meridian Electronics</w:t>
      </w:r>
    </w:p>
    <w:p>
      <w:pPr>
        <w:spacing w:after="700"/>
        <w:jc w:val="center"/>
      </w:pPr>
      <w:r>
        <w:rPr>
          <w:i/>
          <w:iCs/>
          <w:color w:val="555555"/>
          <w:sz w:val="22"/>
          <w:szCs w:val="22"/>
        </w:rPr>
        <w:t xml:space="preserve">Aligned to ISO 27035 and SOC 2 CC7.x | Prepared by Kevin Liao</w:t>
      </w:r>
    </w:p>
    <w:p>
      <w:pPr>
        <w:pStyle w:val="Heading1"/>
      </w:pPr>
      <w:r>
        <w:t xml:space="preserve">1. Purpose</w:t>
      </w:r>
    </w:p>
    <w:p>
      <w:pPr>
        <w:spacing w:after="140"/>
      </w:pPr>
      <w:r>
        <w:t xml:space="preserve">This Incident Response Plan (IRP) establishes Meridian Electronics' approach to detecting, containing, eradicating, and recovering from information security incidents, with specific attention to the company's hybrid IT/OT (Operational Technology) environment. The plan is aligned with ISO 27035 (Information Security Incident Management) and SOC 2 Trust Services Criteria CC7.x (System Operations), and is intended to be actionable during an active incident, not solely a compliance artifact.</w:t>
      </w:r>
    </w:p>
    <w:p>
      <w:pPr>
        <w:spacing w:after="140"/>
      </w:pPr>
      <w:r>
        <w:t xml:space="preserve">This plan covers the full incident lifecycle and is supplemented by a Severity-Based Escalation Matrix (Section 8) and a recurring tabletop testing requirement (Section 9), both added following the most recent simulation exercise.</w:t>
      </w:r>
    </w:p>
    <w:p>
      <w:pPr>
        <w:pStyle w:val="Heading1"/>
      </w:pPr>
      <w:r>
        <w:t xml:space="preserve">2. Incident Response Team &amp; Roles</w:t>
      </w:r>
    </w:p>
    <w:p>
      <w:pPr>
        <w:spacing w:after="140"/>
      </w:pPr>
      <w:r>
        <w:t xml:space="preserve">Meridian maintains a three-tier Incident Response Team. Core roles hold decision-making authority during an active incident; Extended roles manage legal, communications, and business-continuity functions; Support/External roles provide specialized capacity the internal team does not maintain full-time. Each lead role is supported by associate/junior staff who execute hands-on response actions.</w:t>
      </w:r>
    </w:p>
    <w:p>
      <w:pPr>
        <w:pStyle w:val="Heading2"/>
      </w:pPr>
      <w:r>
        <w:t xml:space="preserve">2.1 Core Decision-Making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Role</w:t>
            </w:r>
          </w:p>
        </w:tc>
        <w:tc>
          <w:tcPr>
            <w:tcW w:type="dxa" w:w="586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Responsibility</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Incident Commander</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Single point of authority during an active incident; activates the IR Team, makes containment/business decisions, and is the only role authorized to declare an incident resolved.</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Technical Lead (IT/Security)</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Leads detection investigation, containment, eradication, and recovery on corporate IT systems (email, ERP, file servers, endpoints).</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OT/Production Lead</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Manages containment decisions on the manufacturing floor, balancing security action against physical safety and equipment integrity.</w:t>
            </w:r>
          </w:p>
        </w:tc>
      </w:tr>
    </w:tbl>
    <w:p>
      <w:pPr>
        <w:pStyle w:val="Heading2"/>
      </w:pPr>
      <w:r>
        <w:t xml:space="preserve">2.2 Extended Response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Role</w:t>
            </w:r>
          </w:p>
        </w:tc>
        <w:tc>
          <w:tcPr>
            <w:tcW w:type="dxa" w:w="586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Responsibility</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Legal/Compliance Lead</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Assesses regulatory notification obligations, preserves evidence/chain of custody, manages law enforcement contact.</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Communications Lead</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Manages internal, customer/partner, and media messaging.</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HR Lead</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Manages internal workforce communications and personnel actions if an insider element is involved.</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Finance Lead</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Assesses financial exposure and liaises with the cyber insurance carrier on claims handling.</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Customer/Supply Chain Liaison</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Manages communication with key customers/suppliers regarding production or delivery impact.</w:t>
            </w:r>
          </w:p>
        </w:tc>
      </w:tr>
    </w:tbl>
    <w:p>
      <w:pPr>
        <w:pStyle w:val="Heading2"/>
      </w:pPr>
      <w:r>
        <w:t xml:space="preserve">2.3 Support &amp;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Role</w:t>
            </w:r>
          </w:p>
        </w:tc>
        <w:tc>
          <w:tcPr>
            <w:tcW w:type="dxa" w:w="586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Responsibility</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Executive Sponsor (CEO/COO)</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Briefed regularly by the Incident Commander; makes final high-stakes calls (e.g., ransom payment, disclosure timing).</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External IR Firm / Forensics Partner</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Pre-contracted third-party specialists engaged for deep forensic investigation.</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Cyber Insurance Carrier Contact</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Notified per policy requirements; may mandate use of approved IR/legal vendors.</w:t>
            </w:r>
          </w:p>
        </w:tc>
      </w:tr>
      <w:tr>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MSSP After-Hours SOC Analyst</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Monitors SIEM/EDR alerts continuously outside business hours; escalates confirmed high-severity alerts directly to the on-call Technical Lead.</w:t>
            </w:r>
          </w:p>
        </w:tc>
      </w:tr>
    </w:tbl>
    <w:p>
      <w:pPr>
        <w:pStyle w:val="Heading2"/>
      </w:pPr>
      <w:r>
        <w:t xml:space="preserve">2.4 Associate &amp; Junior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Role</w:t>
            </w:r>
          </w:p>
        </w:tc>
        <w:tc>
          <w:tcPr>
            <w:tcW w:type="dxa" w:w="24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Reports To</w:t>
            </w:r>
          </w:p>
        </w:tc>
        <w:tc>
          <w:tcPr>
            <w:tcW w:type="dxa" w:w="376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Responsibility</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Security Analyst (SOC)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Technical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Monitors alerts, performs initial triage, executes hands-on containment.</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Systems Administrator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Technical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Executes endpoint/server isolation, rebuilds, and backup restoration.</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IT Help Desk Technician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Technical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Fields employee reports of suspicious activity (often the first point of detection).</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Production Floor Supervisor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OT/Production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Executes physical shutdown/isolation procedures on the production line.</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Controls Engineer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OT/Production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Assesses industrial control system impact; manages safe reconnection.</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Compliance Associate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Legal/Compliance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Tracks notification deadlines, drafts regulatory language, maintains documentation log.</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Internal Communications Associate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Communications Lead</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Drafts and distributes employee-facing updates.</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Account Manager (Key Accounts)</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Customer/Supply Chain Liaison</w:t>
            </w:r>
          </w:p>
        </w:tc>
        <w:tc>
          <w:tcPr>
            <w:tcW w:type="dxa" w:w="37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Handles direct communication with major customers regarding delays.</w:t>
            </w:r>
          </w:p>
        </w:tc>
      </w:tr>
    </w:tbl>
    <w:p>
      <w:r>
        <w:br w:type="page"/>
      </w:r>
    </w:p>
    <w:p>
      <w:pPr>
        <w:pStyle w:val="Heading1"/>
      </w:pPr>
      <w:r>
        <w:t xml:space="preserve">3. Detection</w:t>
      </w:r>
    </w:p>
    <w:p>
      <w:pPr>
        <w:spacing w:after="140"/>
      </w:pPr>
      <w:r>
        <w:t xml:space="preserve">Goal: confirm a real incident is occurring and classify its severity. No remediation action is taken during this phase.</w:t>
      </w:r>
    </w:p>
    <w:p>
      <w:pPr>
        <w:pStyle w:val="ListParagraph"/>
        <w:numPr>
          <w:ilvl w:val="0"/>
          <w:numId w:val="2"/>
        </w:numPr>
        <w:spacing w:after="70"/>
      </w:pPr>
      <w:r>
        <w:t xml:space="preserve">Reports of suspicious activity (from an employee, via IT Help Desk) or automated alerts (from the MSSP, covering nights/weekends/holidays) are the two entry points into detection.</w:t>
      </w:r>
    </w:p>
    <w:p>
      <w:pPr>
        <w:pStyle w:val="ListParagraph"/>
        <w:numPr>
          <w:ilvl w:val="0"/>
          <w:numId w:val="2"/>
        </w:numPr>
        <w:spacing w:after="70"/>
      </w:pPr>
      <w:r>
        <w:t xml:space="preserve">Help Desk or MSSP SOC Analyst escalates confirmed ransomware indicators (file extension changes, ransom notes, mass file modification alerts) immediately to the on-call Technical Lead, regardless of time of day.</w:t>
      </w:r>
    </w:p>
    <w:p>
      <w:pPr>
        <w:pStyle w:val="ListParagraph"/>
        <w:numPr>
          <w:ilvl w:val="0"/>
          <w:numId w:val="2"/>
        </w:numPr>
        <w:spacing w:after="70"/>
      </w:pPr>
      <w:r>
        <w:t xml:space="preserve">Technical Lead confirms the indicator is genuine and declares a formal security incident, notifying the on-call Incident Commander.</w:t>
      </w:r>
    </w:p>
    <w:p>
      <w:pPr>
        <w:pStyle w:val="ListParagraph"/>
        <w:numPr>
          <w:ilvl w:val="0"/>
          <w:numId w:val="2"/>
        </w:numPr>
        <w:spacing w:after="70"/>
      </w:pPr>
      <w:r>
        <w:t xml:space="preserve">Incident Commander activates the IR Team. Core roles are activated immediately regardless of hour; Extended Team activation timing follows the Severity-Based Escalation Matrix (Section 8).</w:t>
      </w:r>
    </w:p>
    <w:p>
      <w:pPr>
        <w:pStyle w:val="ListParagraph"/>
        <w:numPr>
          <w:ilvl w:val="0"/>
          <w:numId w:val="2"/>
        </w:numPr>
        <w:spacing w:after="70"/>
      </w:pPr>
      <w:r>
        <w:t xml:space="preserve">Incident Commander opens the formal incident log, beginning the Incident Timeline record.</w:t>
      </w:r>
    </w:p>
    <w:p>
      <w:pPr>
        <w:pStyle w:val="Heading1"/>
      </w:pPr>
      <w:r>
        <w:t xml:space="preserve">4. Containment</w:t>
      </w:r>
    </w:p>
    <w:p>
      <w:pPr>
        <w:spacing w:after="140"/>
      </w:pPr>
      <w:r>
        <w:t xml:space="preserve">Goal: stop the incident from spreading further. Eradication and recovery actions are not taken during this phase.</w:t>
      </w:r>
    </w:p>
    <w:p>
      <w:pPr>
        <w:pStyle w:val="ListParagraph"/>
        <w:numPr>
          <w:ilvl w:val="0"/>
          <w:numId w:val="2"/>
        </w:numPr>
        <w:spacing w:after="70"/>
      </w:pPr>
      <w:r>
        <w:t xml:space="preserve">Security Analyst (or MSSP, with on-call Technical Lead authorization) isolates affected endpoints from the network. Network-level isolation is used rather than power-off, to preserve forensic evidence (volatile memory, active connections).</w:t>
      </w:r>
    </w:p>
    <w:p>
      <w:pPr>
        <w:pStyle w:val="ListParagraph"/>
        <w:numPr>
          <w:ilvl w:val="0"/>
          <w:numId w:val="2"/>
        </w:numPr>
        <w:spacing w:after="70"/>
      </w:pPr>
      <w:r>
        <w:t xml:space="preserve">Systems Administrator disables compromised account(s) and forces password resets; any additional accounts showing suspicious activity are disabled as discovered.</w:t>
      </w:r>
    </w:p>
    <w:p>
      <w:pPr>
        <w:pStyle w:val="ListParagraph"/>
        <w:numPr>
          <w:ilvl w:val="0"/>
          <w:numId w:val="2"/>
        </w:numPr>
        <w:spacing w:after="70"/>
      </w:pPr>
      <w:r>
        <w:t xml:space="preserve">Technical Lead assesses lateral spread risk and recommends broader network segmentation to the Incident Commander as needed.</w:t>
      </w:r>
    </w:p>
    <w:p>
      <w:pPr>
        <w:pStyle w:val="ListParagraph"/>
        <w:numPr>
          <w:ilvl w:val="0"/>
          <w:numId w:val="2"/>
        </w:numPr>
        <w:spacing w:after="70"/>
      </w:pPr>
      <w:r>
        <w:t xml:space="preserve">OT/Production Lead and Controls Engineer assess production system impact. If any risk is identified, containment uses network isolation only — never abrupt power loss — to avoid equipment damage or safety hazards.</w:t>
      </w:r>
    </w:p>
    <w:p>
      <w:pPr>
        <w:pStyle w:val="ListParagraph"/>
        <w:numPr>
          <w:ilvl w:val="0"/>
          <w:numId w:val="2"/>
        </w:numPr>
        <w:spacing w:after="70"/>
      </w:pPr>
      <w:r>
        <w:t xml:space="preserve">Incident Commander notifies the Cyber Insurance Carrier directly and engages the pre-contracted External IR Firm, without waiting for business hours (see Section 8).</w:t>
      </w:r>
    </w:p>
    <w:p>
      <w:pPr>
        <w:pStyle w:val="ListParagraph"/>
        <w:numPr>
          <w:ilvl w:val="0"/>
          <w:numId w:val="2"/>
        </w:numPr>
        <w:spacing w:after="70"/>
      </w:pPr>
      <w:r>
        <w:t xml:space="preserve">Legal/Compliance Lead begins evidence preservation and determines whether law enforcement notification (e.g., FBI IC3) is warranted.</w:t>
      </w:r>
    </w:p>
    <w:p>
      <w:pPr>
        <w:pStyle w:val="Heading1"/>
      </w:pPr>
      <w:r>
        <w:t xml:space="preserve">5. Eradication</w:t>
      </w:r>
    </w:p>
    <w:p>
      <w:pPr>
        <w:spacing w:after="140"/>
      </w:pPr>
      <w:r>
        <w:t xml:space="preserve">Goal: confirm the threat is fully removed from the environment. Recovery does not begin until eradication is formally confirmed.</w:t>
      </w:r>
    </w:p>
    <w:p>
      <w:pPr>
        <w:pStyle w:val="ListParagraph"/>
        <w:numPr>
          <w:ilvl w:val="0"/>
          <w:numId w:val="2"/>
        </w:numPr>
        <w:spacing w:after="70"/>
      </w:pPr>
      <w:r>
        <w:t xml:space="preserve">External IR Firm (with Technical Lead) identifies the threat variant and confirms full scope of affected systems through forensic analysis.</w:t>
      </w:r>
    </w:p>
    <w:p>
      <w:pPr>
        <w:pStyle w:val="ListParagraph"/>
        <w:numPr>
          <w:ilvl w:val="0"/>
          <w:numId w:val="2"/>
        </w:numPr>
        <w:spacing w:after="70"/>
      </w:pPr>
      <w:r>
        <w:t xml:space="preserve">Systems Administrator removes malware/persistence mechanisms from confirmed-affected systems, or rebuilds from a known-clean image where removal cannot be fully verified.</w:t>
      </w:r>
    </w:p>
    <w:p>
      <w:pPr>
        <w:pStyle w:val="ListParagraph"/>
        <w:numPr>
          <w:ilvl w:val="0"/>
          <w:numId w:val="2"/>
        </w:numPr>
        <w:spacing w:after="70"/>
      </w:pPr>
      <w:r>
        <w:t xml:space="preserve">Security Analyst confirms no remaining indicators of compromise exist before sign-off.</w:t>
      </w:r>
    </w:p>
    <w:p>
      <w:pPr>
        <w:pStyle w:val="ListParagraph"/>
        <w:numPr>
          <w:ilvl w:val="0"/>
          <w:numId w:val="2"/>
        </w:numPr>
        <w:spacing w:after="70"/>
      </w:pPr>
      <w:r>
        <w:t xml:space="preserve">Technical Lead formally confirms eradication is complete and reports to the Incident Commander.</w:t>
      </w:r>
    </w:p>
    <w:p>
      <w:pPr>
        <w:pStyle w:val="Heading1"/>
      </w:pPr>
      <w:r>
        <w:t xml:space="preserve">6. Recovery</w:t>
      </w:r>
    </w:p>
    <w:p>
      <w:pPr>
        <w:spacing w:after="140"/>
      </w:pPr>
      <w:r>
        <w:t xml:space="preserve">Goal: safely restore normal operations. The incident is not closed until an elevated monitoring period confirms no recurrence.</w:t>
      </w:r>
    </w:p>
    <w:p>
      <w:pPr>
        <w:pStyle w:val="ListParagraph"/>
        <w:numPr>
          <w:ilvl w:val="0"/>
          <w:numId w:val="2"/>
        </w:numPr>
        <w:spacing w:after="70"/>
      </w:pPr>
      <w:r>
        <w:t xml:space="preserve">Systems Administrator restores affected systems from the most recent backup verified to predate the initial compromise.</w:t>
      </w:r>
    </w:p>
    <w:p>
      <w:pPr>
        <w:pStyle w:val="ListParagraph"/>
        <w:numPr>
          <w:ilvl w:val="0"/>
          <w:numId w:val="2"/>
        </w:numPr>
        <w:spacing w:after="70"/>
      </w:pPr>
      <w:r>
        <w:t xml:space="preserve">Controls Engineer safely reconnects and tests production control systems before resuming full manufacturing operations.</w:t>
      </w:r>
    </w:p>
    <w:p>
      <w:pPr>
        <w:pStyle w:val="ListParagraph"/>
        <w:numPr>
          <w:ilvl w:val="0"/>
          <w:numId w:val="2"/>
        </w:numPr>
        <w:spacing w:after="70"/>
      </w:pPr>
      <w:r>
        <w:t xml:space="preserve">Security Analyst applies enhanced monitoring to previously affected systems for an elevated observation period.</w:t>
      </w:r>
    </w:p>
    <w:p>
      <w:pPr>
        <w:pStyle w:val="ListParagraph"/>
        <w:numPr>
          <w:ilvl w:val="0"/>
          <w:numId w:val="2"/>
        </w:numPr>
        <w:spacing w:after="70"/>
      </w:pPr>
      <w:r>
        <w:t xml:space="preserve">Communications Lead and Customer/Supply Chain Liaison issue resolution updates internally and to affected customers/partners.</w:t>
      </w:r>
    </w:p>
    <w:p>
      <w:pPr>
        <w:pStyle w:val="ListParagraph"/>
        <w:numPr>
          <w:ilvl w:val="0"/>
          <w:numId w:val="2"/>
        </w:numPr>
        <w:spacing w:after="70"/>
      </w:pPr>
      <w:r>
        <w:t xml:space="preserve">Incident Commander formally closes the incident only once Technical Lead, OT/Production Lead, and Legal/Compliance Lead each confirm their area is resolved.</w:t>
      </w:r>
    </w:p>
    <w:p>
      <w:pPr>
        <w:pStyle w:val="Heading1"/>
      </w:pPr>
      <w:r>
        <w:t xml:space="preserve">7. Lessons Learned Process</w:t>
      </w:r>
    </w:p>
    <w:p>
      <w:pPr>
        <w:spacing w:after="140"/>
      </w:pPr>
      <w:r>
        <w:t xml:space="preserve">Following every declared incident (and every tabletop exercise), the Incident Commander convenes a Lessons Learned review within 5 business days. Findings are documented using the four-part structure: Root Cause, Why It Matters, Recommended Policy Update, and the specific IR Plan section the update applies to. Findings and their remediation status are tracked until closed, not filed and forgotten.</w:t>
      </w:r>
    </w:p>
    <w:p>
      <w:pPr>
        <w:pStyle w:val="Heading1"/>
      </w:pPr>
      <w:r>
        <w:t xml:space="preserve">8. Severity-Based Escalation Matrix</w:t>
      </w:r>
    </w:p>
    <w:p>
      <w:pPr>
        <w:spacing w:after="140"/>
      </w:pPr>
      <w:r>
        <w:t xml:space="preserve">Added following the most recent tabletop simulation, which identified ambiguity around when after-hours incidents warrant waking the Extended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Severity</w:t>
            </w:r>
          </w:p>
        </w:tc>
        <w:tc>
          <w:tcPr>
            <w:tcW w:type="dxa" w:w="42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Criteria</w:t>
            </w:r>
          </w:p>
        </w:tc>
        <w:tc>
          <w:tcPr>
            <w:tcW w:type="dxa" w:w="296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r>
              <w:rPr>
                <w:b/>
                <w:bCs/>
                <w:color w:val="FFFFFF"/>
                <w:sz w:val="19"/>
                <w:szCs w:val="19"/>
              </w:rPr>
              <w:t xml:space="preserve">Overnight/Weekend Action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Critical</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Confirmed or suspected customer/employee data exposure, OT/production system compromise, or ransom demand received</w:t>
            </w:r>
          </w:p>
        </w:tc>
        <w:tc>
          <w:tcPr>
            <w:tcW w:type="dxa" w:w="29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Wake Core AND Extended Team immediately, including Legal/Compliance and the Cyber Insurance Carrier contact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Confirmed malware/ransomware activity, contained to internal systems, no confirmed data exposure</w:t>
            </w:r>
          </w:p>
        </w:tc>
        <w:tc>
          <w:tcPr>
            <w:tcW w:type="dxa" w:w="29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Wake Core Team immediately; brief Extended Team at start of business hours unless containment fails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Medium/Low</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Suspicious activity under investigation, not yet confirmed as an active incident</w:t>
            </w:r>
          </w:p>
        </w:tc>
        <w:tc>
          <w:tcPr>
            <w:tcW w:type="dxa" w:w="296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val="false"/>
                <w:bCs w:val="false"/>
                <w:sz w:val="19"/>
                <w:szCs w:val="19"/>
              </w:rPr>
              <w:t xml:space="preserve">On-call Technical Lead investigates; escalate to Incident Commander only if confirmed</w:t>
            </w:r>
          </w:p>
        </w:tc>
      </w:tr>
    </w:tbl>
    <w:p>
      <w:pPr>
        <w:pStyle w:val="Heading1"/>
      </w:pPr>
      <w:r>
        <w:t xml:space="preserve">9. Recurring Testing Requirement</w:t>
      </w:r>
    </w:p>
    <w:p>
      <w:pPr>
        <w:spacing w:after="140"/>
      </w:pPr>
      <w:r>
        <w:t xml:space="preserve">Meridian will conduct a tabletop incident response exercise at minimum semi-annually, rotating scenario types (phishing/ransomware, credential leak, insider threat, OT-specific compromise) and varying time-of-day assumptions. This requirement exists because the most significant gap found in the most recent exercise — the absence of any 24/7 coverage assumption — was an untested assumption in the prior version of this plan, not a known risk. Findings from each exercise are tracked and remediated prior to the next scheduled exercise.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color w:val="555555"/>
        <w:sz w:val="18"/>
        <w:szCs w:val="18"/>
      </w:rPr>
      <w:t xml:space="preserve">Meridian Electronics — Incident Response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2026-06-21T19:23:30.947Z</dcterms:created>
  <dcterms:modified xsi:type="dcterms:W3CDTF">2026-06-21T19:23:30.972Z</dcterms:modified>
</cp:coreProperties>
</file>

<file path=docProps/custom.xml><?xml version="1.0" encoding="utf-8"?>
<Properties xmlns="http://schemas.openxmlformats.org/officeDocument/2006/custom-properties" xmlns:vt="http://schemas.openxmlformats.org/officeDocument/2006/docPropsVTypes"/>
</file>