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4E5F"/>
          <w:sz w:val="48"/>
          <w:szCs w:val="48"/>
        </w:rPr>
        <w:t xml:space="preserve">Mini Compliance Program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NIST 800-53 Compliance Assessment — Riverside Physical Therapy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Prepared by Kevin Liao</w:t>
      </w:r>
    </w:p>
    <w:p>
      <w:pPr>
        <w:pStyle w:val="Heading1"/>
      </w:pPr>
      <w:r>
        <w:t xml:space="preserve">1. Compliance Program Overview</w:t>
      </w:r>
    </w:p>
    <w:p>
      <w:pPr>
        <w:pStyle w:val="Heading2"/>
      </w:pPr>
      <w:r>
        <w:t xml:space="preserve">Organization &amp; Scope</w:t>
      </w:r>
    </w:p>
    <w:p>
      <w:pPr>
        <w:spacing w:after="80"/>
      </w:pPr>
      <w:r>
        <w:rPr>
          <w:b/>
          <w:bCs/>
        </w:rPr>
        <w:t xml:space="preserve">Organization: </w:t>
      </w:r>
      <w:r>
        <w:t xml:space="preserve">Riverside Physical Therapy (fictional outpatient clinic, built for portfolio purposes)</w:t>
      </w:r>
    </w:p>
    <w:p>
      <w:pPr>
        <w:spacing w:after="80"/>
      </w:pPr>
      <w:r>
        <w:rPr>
          <w:b/>
          <w:bCs/>
        </w:rPr>
        <w:t xml:space="preserve">Scope: </w:t>
      </w:r>
      <w:r>
        <w:t xml:space="preserve">Single location, approximately 20–30 staff (clinicians, front desk, billing, administrative)</w:t>
      </w:r>
    </w:p>
    <w:p>
      <w:pPr>
        <w:spacing w:after="80"/>
      </w:pPr>
      <w:r>
        <w:rPr>
          <w:b/>
          <w:bCs/>
        </w:rPr>
        <w:t xml:space="preserve">Framework: </w:t>
      </w:r>
      <w:r>
        <w:t xml:space="preserve">NIST SP 800-53, with alignment to the HIPAA Security Rule</w:t>
      </w:r>
    </w:p>
    <w:p>
      <w:pPr>
        <w:pStyle w:val="Heading2"/>
      </w:pPr>
      <w:r>
        <w:t xml:space="preserve">Systems &amp; Assets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EHR / patient records system (primary repository of Protected Health Information)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Staff workstations (Windows/macOS)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infrastructure (router, Wi-Fi, VPN for remote access)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and communication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and storage systems for patient records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account and access management</w:t>
      </w:r>
    </w:p>
    <w:p>
      <w:pPr>
        <w:pStyle w:val="Heading2"/>
      </w:pPr>
      <w:r>
        <w:t xml:space="preserve">Program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a baseline understanding of Riverside's current security and compliance posture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gaps against NIST 800-53 control families relevant to a small healthcare provider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a remediation roadmap suitable for presentation to clinic leadership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alignment between technical controls and HIPAA Security Rule requirements</w:t>
      </w:r>
    </w:p>
    <w:p>
      <w:pPr>
        <w:pStyle w:val="Heading2"/>
      </w:pPr>
      <w:r>
        <w:t xml:space="preserve">Current Maturity</w:t>
      </w:r>
    </w:p>
    <w:p>
      <w:pPr>
        <w:spacing w:after="160"/>
      </w:pPr>
      <w:r>
        <w:t xml:space="preserve">Riverside's overall maturity is assessed as Initial / Ad Hoc. Several controls exist informally — access is managed but not formally documented, and basic technical safeguards (backups, role-based EHR permissions) are in place, largely as vendor defaults rather than the result of a deliberate, governed program. No dedicated compliance function exists; control ownership currently sits almost entirely with the IT Support function.</w:t>
      </w:r>
    </w:p>
    <w:p>
      <w:pPr>
        <w:pageBreakBefore/>
      </w:pPr>
    </w:p>
    <w:p>
      <w:pPr>
        <w:pStyle w:val="Heading1"/>
      </w:pPr>
      <w:r>
        <w:t xml:space="preserve">2. Control Matrix Summary</w:t>
      </w:r>
    </w:p>
    <w:p>
      <w:pPr>
        <w:spacing w:after="160"/>
      </w:pPr>
      <w:r>
        <w:t xml:space="preserve">A full 18-control matrix was assessed across seven NIST 800-53 control families: Access Control (AC), Audit &amp; Accountability (AU), Incident Response (IR), Identification &amp; Authentication (IA), System &amp; Communications Protection (SC), Contingency Planning (CP), and Configuration Management (CM). The complete matrix, including control-by-control status, ownership, and remediation actions, is provided as a companion spreadsheet (Riverside_Control_Matrix.xlsx).</w:t>
      </w:r>
    </w:p>
    <w:p>
      <w:pPr>
        <w:pStyle w:val="Heading2"/>
      </w:pPr>
      <w:r>
        <w:t xml:space="preserve">Posture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21C24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of 18 controls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6404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of 18 controls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5724"/>
              </w:rPr>
              <w:t xml:space="preserve">Implemented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of 18 controls</w:t>
            </w:r>
          </w:p>
        </w:tc>
      </w:tr>
    </w:tbl>
    <w:p>
      <w:pPr>
        <w:spacing w:before="240"/>
      </w:pPr>
    </w:p>
    <w:p>
      <w:pPr>
        <w:spacing w:after="160"/>
      </w:pPr>
      <w:r>
        <w:t xml:space="preserve">A notable cross-cutting observation: 14 of the 18 assessed controls are owned by a single role (IT Support Specialist), with only 2 owned by the Clinic Director and 1 by the Office Manager. While structurally typical for an organization of this size, this concentration of ownership represents a continuity and separation-of-duties risk in its own right, and is addressed as a standalone finding below.</w:t>
      </w:r>
    </w:p>
    <w:p>
      <w:pPr>
        <w:pageBreakBefore/>
      </w:pPr>
    </w:p>
    <w:p>
      <w:pPr>
        <w:pStyle w:val="Heading1"/>
      </w:pPr>
      <w:r>
        <w:t xml:space="preserve">3. Gap Analysis &amp; Remediation Roadmap</w:t>
      </w:r>
    </w:p>
    <w:p>
      <w:pPr>
        <w:spacing w:after="160"/>
      </w:pPr>
      <w:r>
        <w:t xml:space="preserve">The following five findings were prioritized from the full control matrix using a likelihood/impact framework. Items with severe regulatory or operational consequences were prioritized over items that, while still real gaps, carry lower standalone risk.</w:t>
      </w:r>
    </w:p>
    <w:p>
      <w:pPr>
        <w:pStyle w:val="Heading2"/>
      </w:pPr>
      <w:r>
        <w:t xml:space="preserve">Finding 1 — No HIPAA Breach Notification Process (IR-6)</w:t>
      </w:r>
    </w:p>
    <w:p>
      <w:pPr>
        <w:spacing w:after="80"/>
      </w:pPr>
      <w:r>
        <w:rPr>
          <w:b/>
          <w:bCs/>
        </w:rPr>
        <w:t xml:space="preserve">Likelihood / Impact: </w:t>
      </w:r>
      <w:r>
        <w:t xml:space="preserve">Low / Severe</w:t>
      </w:r>
    </w:p>
    <w:p>
      <w:pPr>
        <w:spacing w:after="160"/>
      </w:pPr>
      <w:r>
        <w:t xml:space="preserve">Riverside has no defined process for notifying HHS or affected patients in the event of a PHI breach. HIPAA's Breach Notification Rule imposes strict reporting timelines; failure to meet them carries direct legal and financial exposure regardless of the breach's technical severity.</w:t>
      </w:r>
    </w:p>
    <w:p>
      <w:pPr>
        <w:spacing w:after="80"/>
      </w:pPr>
      <w:r>
        <w:rPr>
          <w:b/>
          <w:bCs/>
        </w:rPr>
        <w:t xml:space="preserve">Remediation: </w:t>
      </w:r>
      <w:r>
        <w:t xml:space="preserve">Document breach notification timelines and designate a responsible party within the Incident Response Policy.</w:t>
      </w:r>
    </w:p>
    <w:p>
      <w:pPr>
        <w:spacing w:after="80"/>
      </w:pPr>
      <w:r>
        <w:rPr>
          <w:b/>
          <w:bCs/>
        </w:rPr>
        <w:t xml:space="preserve">Owner / Timeline: </w:t>
      </w:r>
      <w:r>
        <w:t xml:space="preserve">Clinic Director / 0–30 days</w:t>
      </w:r>
    </w:p>
    <w:p>
      <w:pPr>
        <w:pStyle w:val="Heading2"/>
      </w:pPr>
      <w:r>
        <w:t xml:space="preserve">Finding 2 — No Documented Incident Response Policy (IR-1)</w:t>
      </w:r>
    </w:p>
    <w:p>
      <w:pPr>
        <w:spacing w:after="80"/>
      </w:pPr>
      <w:r>
        <w:rPr>
          <w:b/>
          <w:bCs/>
        </w:rPr>
        <w:t xml:space="preserve">Likelihood / Impact: </w:t>
      </w:r>
      <w:r>
        <w:t xml:space="preserve">Medium / High</w:t>
      </w:r>
    </w:p>
    <w:p>
      <w:pPr>
        <w:spacing w:after="160"/>
      </w:pPr>
      <w:r>
        <w:t xml:space="preserve">No written incident response plan exists, meaning any real incident would be handled improvised rather than according to a defined process. This finding is foundational: addressing it strengthens both incident handling (IR-4) and breach reporting (IR-6).</w:t>
      </w:r>
    </w:p>
    <w:p>
      <w:pPr>
        <w:spacing w:after="80"/>
      </w:pPr>
      <w:r>
        <w:rPr>
          <w:b/>
          <w:bCs/>
        </w:rPr>
        <w:t xml:space="preserve">Remediation: </w:t>
      </w:r>
      <w:r>
        <w:t xml:space="preserve">Draft and formally approve a written incident response policy covering roles, escalation contacts, and response steps.</w:t>
      </w:r>
    </w:p>
    <w:p>
      <w:pPr>
        <w:spacing w:after="80"/>
      </w:pPr>
      <w:r>
        <w:rPr>
          <w:b/>
          <w:bCs/>
        </w:rPr>
        <w:t xml:space="preserve">Owner / Timeline: </w:t>
      </w:r>
      <w:r>
        <w:t xml:space="preserve">Clinic Director (approval), IT Support Specialist (drafting) / 0–30 days</w:t>
      </w:r>
    </w:p>
    <w:p>
      <w:pPr>
        <w:pStyle w:val="Heading2"/>
      </w:pPr>
      <w:r>
        <w:t xml:space="preserve">Finding 3 — Backups Never Tested for Restoration (CP-10)</w:t>
      </w:r>
    </w:p>
    <w:p>
      <w:pPr>
        <w:spacing w:after="80"/>
      </w:pPr>
      <w:r>
        <w:rPr>
          <w:b/>
          <w:bCs/>
        </w:rPr>
        <w:t xml:space="preserve">Likelihood / Impact: </w:t>
      </w:r>
      <w:r>
        <w:t xml:space="preserve">Medium / High</w:t>
      </w:r>
    </w:p>
    <w:p>
      <w:pPr>
        <w:spacing w:after="160"/>
      </w:pPr>
      <w:r>
        <w:t xml:space="preserve">Backups run automatically but have never been validated through an actual restoration test. An unproven backup creates risk that a real outage or ransomware event reveals recovery does not work as assumed, directly threatening patient care continuity.</w:t>
      </w:r>
    </w:p>
    <w:p>
      <w:pPr>
        <w:spacing w:after="80"/>
      </w:pPr>
      <w:r>
        <w:rPr>
          <w:b/>
          <w:bCs/>
        </w:rPr>
        <w:t xml:space="preserve">Remediation: </w:t>
      </w:r>
      <w:r>
        <w:t xml:space="preserve">Conduct a test restoration of backup data and establish this as a recurring annual task.</w:t>
      </w:r>
    </w:p>
    <w:p>
      <w:pPr>
        <w:spacing w:after="80"/>
      </w:pPr>
      <w:r>
        <w:rPr>
          <w:b/>
          <w:bCs/>
        </w:rPr>
        <w:t xml:space="preserve">Owner / Timeline: </w:t>
      </w:r>
      <w:r>
        <w:t xml:space="preserve">IT Support Specialist / 30–60 days</w:t>
      </w:r>
    </w:p>
    <w:p>
      <w:pPr>
        <w:pStyle w:val="Heading2"/>
      </w:pPr>
      <w:r>
        <w:t xml:space="preserve">Finding 4 — PHI Not Consistently Encrypted in Transit (SC-8)</w:t>
      </w:r>
    </w:p>
    <w:p>
      <w:pPr>
        <w:spacing w:after="80"/>
      </w:pPr>
      <w:r>
        <w:rPr>
          <w:b/>
          <w:bCs/>
        </w:rPr>
        <w:t xml:space="preserve">Likelihood / Impact: </w:t>
      </w:r>
      <w:r>
        <w:t xml:space="preserve">Medium / High</w:t>
      </w:r>
    </w:p>
    <w:p>
      <w:pPr>
        <w:spacing w:after="160"/>
      </w:pPr>
      <w:r>
        <w:t xml:space="preserve">Email is not consistently encrypted in cases where PHI may be discussed. Unencrypted transmission of PHI is a frequently cited pattern in real-world HIPAA enforcement actions, making this a realistic and material exposure.</w:t>
      </w:r>
    </w:p>
    <w:p>
      <w:pPr>
        <w:spacing w:after="80"/>
      </w:pPr>
      <w:r>
        <w:rPr>
          <w:b/>
          <w:bCs/>
        </w:rPr>
        <w:t xml:space="preserve">Remediation: </w:t>
      </w:r>
      <w:r>
        <w:t xml:space="preserve">Adopt an encrypted email solution or secure patient communication portal, with staff training on appropriate use.</w:t>
      </w:r>
    </w:p>
    <w:p>
      <w:pPr>
        <w:spacing w:after="80"/>
      </w:pPr>
      <w:r>
        <w:rPr>
          <w:b/>
          <w:bCs/>
        </w:rPr>
        <w:t xml:space="preserve">Owner / Timeline: </w:t>
      </w:r>
      <w:r>
        <w:t xml:space="preserve">IT Support Specialist / 30–60 days</w:t>
      </w:r>
    </w:p>
    <w:p>
      <w:pPr>
        <w:pStyle w:val="Heading2"/>
      </w:pPr>
      <w:r>
        <w:t xml:space="preserve">Finding 5 — Control Ownership Concentrated in a Single Role</w:t>
      </w:r>
    </w:p>
    <w:p>
      <w:pPr>
        <w:spacing w:after="80"/>
      </w:pPr>
      <w:r>
        <w:rPr>
          <w:b/>
          <w:bCs/>
        </w:rPr>
        <w:t xml:space="preserve">Likelihood / Impact: </w:t>
      </w:r>
      <w:r>
        <w:t xml:space="preserve">High / Medium</w:t>
      </w:r>
    </w:p>
    <w:p>
      <w:pPr>
        <w:spacing w:after="160"/>
      </w:pPr>
      <w:r>
        <w:t xml:space="preserve">Fourteen of eighteen assessed controls are owned by the IT Support Specialist role, with no dedicated compliance function providing oversight or separation of duties. This is a structural, programmatic gap rather than a technical one: if this individual is unavailable, compliance-critical tasks have no backup owner, and no second party independently verifies that controls remain effective.</w:t>
      </w:r>
    </w:p>
    <w:p>
      <w:pPr>
        <w:spacing w:after="80"/>
      </w:pPr>
      <w:r>
        <w:rPr>
          <w:b/>
          <w:bCs/>
        </w:rPr>
        <w:t xml:space="preserve">Remediation: </w:t>
      </w:r>
      <w:r>
        <w:t xml:space="preserve">Formally designate a part-time compliance coordination responsibility, distributed across existing staff, to review control status on a quarterly basis.</w:t>
      </w:r>
    </w:p>
    <w:p>
      <w:pPr>
        <w:spacing w:after="80"/>
      </w:pPr>
      <w:r>
        <w:rPr>
          <w:b/>
          <w:bCs/>
        </w:rPr>
        <w:t xml:space="preserve">Owner / Timeline: </w:t>
      </w:r>
      <w:r>
        <w:t xml:space="preserve">Clinic Director / 60–90 days</w:t>
      </w:r>
    </w:p>
    <w:p>
      <w:pPr>
        <w:pStyle w:val="Heading2"/>
      </w:pPr>
      <w:r>
        <w:t xml:space="preserve">Sequencing Rationale</w:t>
      </w:r>
    </w:p>
    <w:p>
      <w:pPr>
        <w:spacing w:after="160"/>
      </w:pPr>
      <w:r>
        <w:t xml:space="preserve">Remediation is sequenced deliberately: policy-level fixes (Findings 1 and 2) come first because they are low-cost and because several other controls depend on them. Technical remediations (Findings 3 and 4) follow once response processes are in place to handle situations where those technical controls fail. The structural fix (Finding 5) comes last, once concrete remediation work exists for a compliance function to actually oversee.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</w:pPr>
    <w:r>
      <w:rPr>
        <w:color w:val="555555"/>
        <w:sz w:val="18"/>
        <w:szCs w:val="18"/>
      </w:rPr>
      <w:t xml:space="preserve">Riverside Physical Therapy — Mini Compliance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2026-06-17T23:16:12.902Z</dcterms:created>
  <dcterms:modified xsi:type="dcterms:W3CDTF">2026-06-17T23:16:12.902Z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