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4E5F"/>
          <w:sz w:val="30"/>
          <w:szCs w:val="30"/>
        </w:rPr>
        <w:t xml:space="preserve">Vendor Assessment Report: Slack</w:t>
      </w:r>
    </w:p>
    <w:p>
      <w:pPr>
        <w:spacing w:after="90"/>
      </w:pPr>
      <w:r>
        <w:rPr>
          <w:i/>
          <w:iCs/>
          <w:color w:val="555555"/>
          <w:sz w:val="17"/>
          <w:szCs w:val="17"/>
        </w:rPr>
        <w:t xml:space="preserve">Communication &amp; Collaboration Platform | Prepared by Kevin Liao</w:t>
      </w:r>
    </w:p>
    <w:p>
      <w:pPr>
        <w:spacing w:after="90"/>
      </w:pPr>
      <w:r>
        <w:t xml:space="preserve">Slack was assessed using a 28-question security questionnaire across five domains — Governance, Access Control, Data Protection, Incident Response &amp; Logging, and Compliance — scored against Slack's current public security documentation. Slack scored 50 of 56 possible points (89%), placing it in the Low Risk band under a pre-defined scoring scale (85-100% = Low Risk). To contextualize this score, this report also examines Slack's security posture before and after two publicly disclosed incidents, since a vendor's response to past incidents is often a more reliable signal than a point-in-time score alone.</w:t>
      </w:r>
    </w:p>
    <w:p>
      <w:pPr>
        <w:pStyle w:val="Heading2"/>
      </w:pPr>
      <w:r>
        <w:t xml:space="preserve">Before / After: Security Posture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pPr>
              <w:jc w:val="left"/>
            </w:pPr>
            <w:r>
              <w:rPr>
                <w:b w:val="false"/>
                <w:bCs w:val="false"/>
                <w:sz w:val="19"/>
                <w:szCs w:val="19"/>
              </w:rPr>
              <w:t xml:space="preserve"/>
            </w:r>
          </w:p>
        </w:tc>
        <w:tc>
          <w:tcPr>
            <w:tcW w:type="dxa" w:w="378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pPr>
              <w:jc w:val="center"/>
            </w:pPr>
            <w:r>
              <w:rPr>
                <w:b/>
                <w:bCs/>
                <w:color w:val="FFFFFF"/>
                <w:sz w:val="19"/>
                <w:szCs w:val="19"/>
              </w:rPr>
              <w:t xml:space="preserve">Before (2015 Incident)</w:t>
            </w:r>
          </w:p>
        </w:tc>
        <w:tc>
          <w:tcPr>
            <w:tcW w:type="dxa" w:w="3780"/>
            <w:tcBorders>
              <w:top w:val="single" w:color="BFBFBF" w:sz="4"/>
              <w:left w:val="single" w:color="BFBFBF" w:sz="4"/>
              <w:bottom w:val="single" w:color="BFBFBF" w:sz="4"/>
              <w:right w:val="single" w:color="BFBFBF" w:sz="4"/>
            </w:tcBorders>
            <w:shd w:fill="1F4E5F" w:val="clear"/>
            <w:tcMar>
              <w:top w:type="dxa" w:w="80"/>
              <w:left w:type="dxa" w:w="100"/>
              <w:bottom w:type="dxa" w:w="80"/>
              <w:right w:type="dxa" w:w="100"/>
            </w:tcMar>
          </w:tcPr>
          <w:p>
            <w:pPr>
              <w:jc w:val="center"/>
            </w:pPr>
            <w:r>
              <w:rPr>
                <w:b/>
                <w:bCs/>
                <w:color w:val="FFFFFF"/>
                <w:sz w:val="19"/>
                <w:szCs w:val="19"/>
              </w:rPr>
              <w:t xml:space="preserve">After (2022 Incident &amp; Today)</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bCs/>
                <w:sz w:val="19"/>
                <w:szCs w:val="19"/>
              </w:rPr>
              <w:t xml:space="preserve">What happened</w:t>
            </w:r>
          </w:p>
        </w:tc>
        <w:tc>
          <w:tcPr>
            <w:tcW w:type="dxa" w:w="37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19"/>
                <w:szCs w:val="19"/>
              </w:rPr>
              <w:t xml:space="preserve">Attackers accessed a database of usernames and hashed passwords and inserted code to capture plaintext passwords as users logged in.</w:t>
            </w:r>
          </w:p>
        </w:tc>
        <w:tc>
          <w:tcPr>
            <w:tcW w:type="dxa" w:w="37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19"/>
                <w:szCs w:val="19"/>
              </w:rPr>
              <w:t xml:space="preserve">Attackers stole employee tokens and accessed Slack's GitHub repositories; no customer data, codebase, or production systems were touched.</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bCs/>
                <w:sz w:val="19"/>
                <w:szCs w:val="19"/>
              </w:rPr>
              <w:t xml:space="preserve">Response speed</w:t>
            </w:r>
          </w:p>
        </w:tc>
        <w:tc>
          <w:tcPr>
            <w:tcW w:type="dxa" w:w="3780"/>
            <w:tcBorders>
              <w:top w:val="single" w:color="BFBFBF" w:sz="4"/>
              <w:left w:val="single" w:color="BFBFBF" w:sz="4"/>
              <w:bottom w:val="single" w:color="BFBFBF" w:sz="4"/>
              <w:right w:val="single" w:color="BFBFBF" w:sz="4"/>
            </w:tcBorders>
            <w:shd w:fill="F8D7DA" w:val="clear"/>
            <w:tcMar>
              <w:top w:type="dxa" w:w="80"/>
              <w:left w:type="dxa" w:w="100"/>
              <w:bottom w:type="dxa" w:w="80"/>
              <w:right w:type="dxa" w:w="100"/>
            </w:tcMar>
          </w:tcPr>
          <w:p>
            <w:pPr>
              <w:jc w:val="left"/>
            </w:pPr>
            <w:r>
              <w:rPr>
                <w:b w:val="false"/>
                <w:bCs w:val="false"/>
                <w:sz w:val="19"/>
                <w:szCs w:val="19"/>
              </w:rPr>
              <w:t xml:space="preserve">Passwords reset for affected users after detection; full scope wasn't confirmed until a follow-up disclosure years later.</w:t>
            </w:r>
          </w:p>
        </w:tc>
        <w:tc>
          <w:tcPr>
            <w:tcW w:type="dxa" w:w="3780"/>
            <w:tcBorders>
              <w:top w:val="single" w:color="BFBFBF" w:sz="4"/>
              <w:left w:val="single" w:color="BFBFBF" w:sz="4"/>
              <w:bottom w:val="single" w:color="BFBFBF" w:sz="4"/>
              <w:right w:val="single" w:color="BFBFBF" w:sz="4"/>
            </w:tcBorders>
            <w:shd w:fill="D4EDDA" w:val="clear"/>
            <w:tcMar>
              <w:top w:type="dxa" w:w="80"/>
              <w:left w:type="dxa" w:w="100"/>
              <w:bottom w:type="dxa" w:w="80"/>
              <w:right w:type="dxa" w:w="100"/>
            </w:tcMar>
          </w:tcPr>
          <w:p>
            <w:pPr>
              <w:jc w:val="left"/>
            </w:pPr>
            <w:r>
              <w:rPr>
                <w:b w:val="false"/>
                <w:bCs w:val="false"/>
                <w:sz w:val="19"/>
                <w:szCs w:val="19"/>
              </w:rPr>
              <w:t xml:space="preserve">Tokens invalidated and breach publicly disclosed within 4 days of discovery (Dec 27 to Dec 31).</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bCs/>
                <w:sz w:val="19"/>
                <w:szCs w:val="19"/>
              </w:rPr>
              <w:t xml:space="preserve">Resulting controls</w:t>
            </w:r>
          </w:p>
        </w:tc>
        <w:tc>
          <w:tcPr>
            <w:tcW w:type="dxa" w:w="37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19"/>
                <w:szCs w:val="19"/>
              </w:rPr>
              <w:t xml:space="preserve">Introduced two-factor authentication as a corrective measure following the incident.</w:t>
            </w:r>
          </w:p>
        </w:tc>
        <w:tc>
          <w:tcPr>
            <w:tcW w:type="dxa" w:w="37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b w:val="false"/>
                <w:bCs w:val="false"/>
                <w:sz w:val="19"/>
                <w:szCs w:val="19"/>
              </w:rPr>
              <w:t xml:space="preserve">Increased GitHub monitoring/alerting; today's program includes EKM, default encryption, and 9 active certifications.</w:t>
            </w:r>
          </w:p>
        </w:tc>
      </w:tr>
    </w:tbl>
    <w:p>
      <w:pPr>
        <w:spacing w:after="130" w:before="140"/>
      </w:pPr>
      <w:r>
        <w:t xml:space="preserve">The contrast is meaningful: in 2015, Slack's posture was largely reactive, and the full scope of the incident wasn't clear until a follow-up disclosure years later. By 2022, Slack demonstrated a materially more mature program — fast containment, public transparency within days, and a clear root-cause finding that customer data was never at risk. The current questionnaire results (89%, Low Risk) reflect a vendor whose program has visibly matured over roughly a decade, not a static claim taken at face value.</w:t>
      </w:r>
    </w:p>
    <w:p>
      <w:pPr>
        <w:pStyle w:val="Heading2"/>
      </w:pPr>
      <w:r>
        <w:t xml:space="preserve">Assessment Summary</w:t>
      </w:r>
    </w:p>
    <w:p>
      <w:pPr>
        <w:pStyle w:val="ListParagraph"/>
        <w:numPr>
          <w:ilvl w:val="0"/>
          <w:numId w:val="2"/>
        </w:numPr>
        <w:spacing w:after="30"/>
      </w:pPr>
      <w:r>
        <w:t xml:space="preserve">Governance: 12/12 (100%) — extensive, independently audited certifications (ISO 27001/17/18/701/42001, SOC 2 Type II, SOC 3) with clear shared-responsibility framing.</w:t>
      </w:r>
    </w:p>
    <w:p>
      <w:pPr>
        <w:pStyle w:val="ListParagraph"/>
        <w:numPr>
          <w:ilvl w:val="0"/>
          <w:numId w:val="2"/>
        </w:numPr>
        <w:spacing w:after="30"/>
      </w:pPr>
      <w:r>
        <w:t xml:space="preserve">Access Control: 10/12 (83%) — strong SSO, domain claiming, and EMM support; org-wide MFA enforcement and session controls not fully confirmed publicly.</w:t>
      </w:r>
    </w:p>
    <w:p>
      <w:pPr>
        <w:pStyle w:val="ListParagraph"/>
        <w:numPr>
          <w:ilvl w:val="0"/>
          <w:numId w:val="2"/>
        </w:numPr>
        <w:spacing w:after="30"/>
      </w:pPr>
      <w:r>
        <w:t xml:space="preserve">Data Protection: 11/12 (92%) — encryption at rest/in transit by default, customer-managed keys via EKM, and data residency controls.</w:t>
      </w:r>
    </w:p>
    <w:p>
      <w:pPr>
        <w:pStyle w:val="ListParagraph"/>
        <w:numPr>
          <w:ilvl w:val="0"/>
          <w:numId w:val="2"/>
        </w:numPr>
        <w:spacing w:after="30"/>
      </w:pPr>
      <w:r>
        <w:t xml:space="preserve">Incident Response &amp; Logging: 7/10 (70%) — solid logging and legal hold support, but no public breach notification timeline commitment.</w:t>
      </w:r>
    </w:p>
    <w:p>
      <w:pPr>
        <w:pStyle w:val="ListParagraph"/>
        <w:numPr>
          <w:ilvl w:val="0"/>
          <w:numId w:val="2"/>
        </w:numPr>
        <w:spacing w:after="30"/>
      </w:pPr>
      <w:r>
        <w:t xml:space="preserve">Compliance: 10/10 (100%) — HIPAA, FINRA 17a-4, FedRAMP, and GDPR are all explicitly supported.</w:t>
      </w:r>
    </w:p>
    <w:p>
      <w:pPr>
        <w:pStyle w:val="Heading2"/>
      </w:pPr>
      <w:r>
        <w:t xml:space="preserve">Recommendation</w:t>
      </w:r>
    </w:p>
    <w:p>
      <w:pPr>
        <w:spacing w:after="90"/>
      </w:pPr>
      <w:r>
        <w:t xml:space="preserve">Slack is recommended for adoption as an internal communication and collaboration platform, including for organizations subject to HIPAA, FINRA, or GDPR obligations, provided the following two items are confirmed directly with Slack's account team prior to contract signature rather than assumed from public documentation:</w:t>
      </w:r>
    </w:p>
    <w:p>
      <w:pPr>
        <w:pStyle w:val="ListParagraph"/>
        <w:numPr>
          <w:ilvl w:val="0"/>
          <w:numId w:val="2"/>
        </w:numPr>
        <w:spacing w:after="30"/>
      </w:pPr>
      <w:r>
        <w:t xml:space="preserve">Request the specific breach notification timeline commitment from the Data Processing Addendum (DPA), since this was not publicly documented.</w:t>
      </w:r>
    </w:p>
    <w:p>
      <w:pPr>
        <w:pStyle w:val="ListParagraph"/>
        <w:numPr>
          <w:ilvl w:val="0"/>
          <w:numId w:val="2"/>
        </w:numPr>
        <w:spacing w:after="30"/>
      </w:pPr>
      <w:r>
        <w:t xml:space="preserve">Confirm whether org-wide mandatory MFA enforcement and session/device controls are available on the specific plan tier being purchased.</w:t>
      </w:r>
    </w:p>
    <w:p>
      <w:pPr>
        <w:pStyle w:val="Heading2"/>
      </w:pPr>
      <w:r>
        <w:t xml:space="preserve">Usefulness of This Assessment</w:t>
      </w:r>
    </w:p>
    <w:p>
      <w:pPr>
        <w:spacing w:after="90"/>
      </w:pPr>
      <w:r>
        <w:t xml:space="preserve">This exercise reflects a core, recurring GRC analyst responsibility: third-party vendors are frequently the weakest link in an organization's security posture, not because vendors are careless, but because customers often adopt tools based on reputation rather than verified evidence. A structured questionnaire, scored consistently and backed by cited evidence, turns "Slack seems secure" into a defensible, auditable conclusion that can be revisited as the vendor's posture changes. The before/after comparison additionally demonstrates that vendor risk assessment is not a one-time gate at procurement — a vendor's trajectory after an incident is often more informative than whether an incident occurred at all, and that pattern should be re-evaluated periodically rather than assumed to hold indefinitely.</w:t>
      </w:r>
    </w:p>
    <w:sectPr>
      <w:headerReference w:type="default" r:id="rId7"/>
      <w:footerReference w:type="default" r:id="rId8"/>
      <w:pgSz w:w="12240" w:h="15840" w:orient="portrait"/>
      <w:pgMar w:top="560" w:right="1000" w:bottom="5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3"/>
      </w:pBdr>
    </w:pPr>
    <w:r>
      <w:rPr>
        <w:color w:val="555555"/>
        <w:sz w:val="16"/>
        <w:szCs w:val="16"/>
      </w:rPr>
      <w:t xml:space="preserve">Vendor Assessment Report — Slack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3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70" w:before="110"/>
      <w:outlineLvl w:val="1"/>
    </w:pPr>
    <w:rPr>
      <w:rFonts w:ascii="Arial" w:cs="Arial" w:eastAsia="Arial" w:hAnsi="Arial"/>
      <w:b/>
      <w:bCs/>
      <w:color w:val="1F4E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2026-06-20T02:58:11.936Z</dcterms:created>
  <dcterms:modified xsi:type="dcterms:W3CDTF">2026-06-20T02:58:11.937Z</dcterms:modified>
</cp:coreProperties>
</file>

<file path=docProps/custom.xml><?xml version="1.0" encoding="utf-8"?>
<Properties xmlns="http://schemas.openxmlformats.org/officeDocument/2006/custom-properties" xmlns:vt="http://schemas.openxmlformats.org/officeDocument/2006/docPropsVTypes"/>
</file>