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5F"/>
          <w:sz w:val="32"/>
          <w:szCs w:val="32"/>
        </w:rPr>
        <w:t xml:space="preserve">Internal Audit Report</w:t>
      </w:r>
    </w:p>
    <w:p>
      <w:pPr>
        <w:spacing w:after="160"/>
      </w:pPr>
      <w:r>
        <w:rPr>
          <w:i/>
          <w:iCs/>
          <w:color w:val="555555"/>
          <w:sz w:val="17"/>
          <w:szCs w:val="17"/>
        </w:rPr>
        <w:t xml:space="preserve">Vantage Cloud Solutions | SOC 2 Type II + ISO 27001 Readiness Audit | Prepared by Kevin Liao</w:t>
      </w:r>
    </w:p>
    <w:p>
      <w:pPr>
        <w:pStyle w:val="Heading2"/>
      </w:pPr>
      <w:r>
        <w:t xml:space="preserve">Audit Scope &amp; Methodology</w:t>
      </w:r>
    </w:p>
    <w:p>
      <w:pPr>
        <w:spacing w:after="120"/>
      </w:pPr>
      <w:r>
        <w:t xml:space="preserve">This internal audit evaluated 15 controls across Vantage Cloud Solutions' information security program, sampled to represent the company's full control environment ahead of its first SOC 2 Type II and ISO 27001 certification cycle. Controls were assessed against three frameworks simultaneously: NIST 800-53 (technical baseline), SOC 2 Common Criteria, and ISO 27001 Annex A, reflecting the company's pursuit of dual certification. Evidence reviewed included system configuration exports, policy documents, ticket samples, training records, and staff interviews. One control (Physical &amp; Environmental Access) was scoped out as Not Applicable, since Vantage operates as a fully cloud-native organization with no company-controlled physical infrastructure.</w:t>
      </w:r>
    </w:p>
    <w:p>
      <w:pPr>
        <w:pStyle w:val="Heading2"/>
      </w:pPr>
      <w:r>
        <w:t xml:space="preserve">Overall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FBFBF" w:sz="4"/>
              <w:left w:val="single" w:color="BFBFBF" w:sz="4"/>
              <w:bottom w:val="single" w:color="BFBFBF" w:sz="4"/>
              <w:right w:val="single" w:color="BFBFBF" w:sz="4"/>
            </w:tcBorders>
            <w:shd w:fill="D4EDDA" w:val="clear"/>
            <w:tcMar>
              <w:top w:type="dxa" w:w="70"/>
              <w:left w:type="dxa" w:w="90"/>
              <w:bottom w:type="dxa" w:w="70"/>
              <w:right w:type="dxa" w:w="90"/>
            </w:tcMar>
          </w:tcPr>
          <w:p>
            <w:r>
              <w:rPr>
                <w:b/>
                <w:bCs/>
                <w:color w:val="155724"/>
                <w:sz w:val="18"/>
                <w:szCs w:val="18"/>
              </w:rPr>
              <w:t xml:space="preserve">Compliant</w:t>
            </w:r>
          </w:p>
        </w:tc>
        <w:tc>
          <w:tcPr>
            <w:tcW w:type="dxa" w:w="2340"/>
            <w:tcBorders>
              <w:top w:val="single" w:color="BFBFBF" w:sz="4"/>
              <w:left w:val="single" w:color="BFBFBF" w:sz="4"/>
              <w:bottom w:val="single" w:color="BFBFBF" w:sz="4"/>
              <w:right w:val="single" w:color="BFBFBF" w:sz="4"/>
            </w:tcBorders>
            <w:shd w:fill="FFF3CD" w:val="clear"/>
            <w:tcMar>
              <w:top w:type="dxa" w:w="70"/>
              <w:left w:type="dxa" w:w="90"/>
              <w:bottom w:type="dxa" w:w="70"/>
              <w:right w:type="dxa" w:w="90"/>
            </w:tcMar>
          </w:tcPr>
          <w:p>
            <w:r>
              <w:rPr>
                <w:b/>
                <w:bCs/>
                <w:color w:val="856404"/>
                <w:sz w:val="18"/>
                <w:szCs w:val="18"/>
              </w:rPr>
              <w:t xml:space="preserve">Partially Implemented</w:t>
            </w:r>
          </w:p>
        </w:tc>
        <w:tc>
          <w:tcPr>
            <w:tcW w:type="dxa" w:w="2340"/>
            <w:tcBorders>
              <w:top w:val="single" w:color="BFBFBF" w:sz="4"/>
              <w:left w:val="single" w:color="BFBFBF" w:sz="4"/>
              <w:bottom w:val="single" w:color="BFBFBF" w:sz="4"/>
              <w:right w:val="single" w:color="BFBFBF" w:sz="4"/>
            </w:tcBorders>
            <w:shd w:fill="F8D7DA" w:val="clear"/>
            <w:tcMar>
              <w:top w:type="dxa" w:w="70"/>
              <w:left w:type="dxa" w:w="90"/>
              <w:bottom w:type="dxa" w:w="70"/>
              <w:right w:type="dxa" w:w="90"/>
            </w:tcMar>
          </w:tcPr>
          <w:p>
            <w:r>
              <w:rPr>
                <w:b/>
                <w:bCs/>
                <w:color w:val="721C24"/>
                <w:sz w:val="18"/>
                <w:szCs w:val="18"/>
              </w:rPr>
              <w:t xml:space="preserve">Non-Compliant</w:t>
            </w:r>
          </w:p>
        </w:tc>
        <w:tc>
          <w:tcPr>
            <w:tcW w:type="dxa" w:w="2340"/>
            <w:tcBorders>
              <w:top w:val="single" w:color="BFBFBF" w:sz="4"/>
              <w:left w:val="single" w:color="BFBFBF" w:sz="4"/>
              <w:bottom w:val="single" w:color="BFBFBF" w:sz="4"/>
              <w:right w:val="single" w:color="BFBFBF" w:sz="4"/>
            </w:tcBorders>
            <w:shd w:fill="F1EFE8" w:val="clear"/>
            <w:tcMar>
              <w:top w:type="dxa" w:w="70"/>
              <w:left w:type="dxa" w:w="90"/>
              <w:bottom w:type="dxa" w:w="70"/>
              <w:right w:type="dxa" w:w="90"/>
            </w:tcMar>
          </w:tcPr>
          <w:p>
            <w:r>
              <w:rPr>
                <w:b/>
                <w:bCs/>
                <w:color w:val="5F5E5A"/>
                <w:sz w:val="18"/>
                <w:szCs w:val="18"/>
              </w:rPr>
              <w:t xml:space="preserve">Not Applicable</w:t>
            </w:r>
          </w:p>
        </w:tc>
      </w:tr>
      <w:tr>
        <w:tc>
          <w:tcPr>
            <w:tcW w:type="dxa" w:w="234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4 of 15 (29%)</w:t>
            </w:r>
          </w:p>
        </w:tc>
        <w:tc>
          <w:tcPr>
            <w:tcW w:type="dxa" w:w="234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5 of 15 (36%)</w:t>
            </w:r>
          </w:p>
        </w:tc>
        <w:tc>
          <w:tcPr>
            <w:tcW w:type="dxa" w:w="234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5 of 15 (36%)</w:t>
            </w:r>
          </w:p>
        </w:tc>
        <w:tc>
          <w:tcPr>
            <w:tcW w:type="dxa" w:w="234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1 of 15</w:t>
            </w:r>
          </w:p>
        </w:tc>
      </w:tr>
    </w:tbl>
    <w:p>
      <w:pPr>
        <w:spacing w:after="130" w:before="130"/>
      </w:pPr>
      <w:r>
        <w:t xml:space="preserve">Vantage's control environment shows a clear pattern: technical controls implemented directly by engineering (encryption, role-based access, configuration management) are largely mature, while governance and process controls that require cross-functional ownership (vendor risk, change approval, data classification) are the weakest area. This is a common and recognizable pattern for a fast-growing company pursuing its first formal certification, and it directly informs how remediation should be sequenced below.</w:t>
      </w:r>
    </w:p>
    <w:p>
      <w:pPr>
        <w:pStyle w:val="Heading2"/>
      </w:pPr>
      <w:r>
        <w:t xml:space="preserve">Findings Summary</w:t>
      </w:r>
    </w:p>
    <w:p>
      <w:pPr>
        <w:spacing w:after="120"/>
      </w:pPr>
      <w:r>
        <w:t xml:space="preserve">Ten findings were identified, corresponding one-to-one with the ten controls rated Partially Implemented or Non-Compliant. Findings are summarized below by severity; full evidence and remediation detail for each is documented in the companion Internal Audit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tcBorders>
              <w:top w:val="single" w:color="BFBFBF" w:sz="4"/>
              <w:left w:val="single" w:color="BFBFBF" w:sz="4"/>
              <w:bottom w:val="single" w:color="BFBFBF" w:sz="4"/>
              <w:right w:val="single" w:color="BFBFBF" w:sz="4"/>
            </w:tcBorders>
            <w:shd w:fill="1F4E5F" w:val="clear"/>
            <w:tcMar>
              <w:top w:type="dxa" w:w="70"/>
              <w:left w:type="dxa" w:w="90"/>
              <w:bottom w:type="dxa" w:w="70"/>
              <w:right w:type="dxa" w:w="90"/>
            </w:tcMar>
          </w:tcPr>
          <w:p>
            <w:r>
              <w:rPr>
                <w:b/>
                <w:bCs/>
                <w:color w:val="FFFFFF"/>
                <w:sz w:val="18"/>
                <w:szCs w:val="18"/>
              </w:rPr>
              <w:t xml:space="preserve">ID</w:t>
            </w:r>
          </w:p>
        </w:tc>
        <w:tc>
          <w:tcPr>
            <w:tcW w:type="dxa" w:w="4800"/>
            <w:tcBorders>
              <w:top w:val="single" w:color="BFBFBF" w:sz="4"/>
              <w:left w:val="single" w:color="BFBFBF" w:sz="4"/>
              <w:bottom w:val="single" w:color="BFBFBF" w:sz="4"/>
              <w:right w:val="single" w:color="BFBFBF" w:sz="4"/>
            </w:tcBorders>
            <w:shd w:fill="1F4E5F" w:val="clear"/>
            <w:tcMar>
              <w:top w:type="dxa" w:w="70"/>
              <w:left w:type="dxa" w:w="90"/>
              <w:bottom w:type="dxa" w:w="70"/>
              <w:right w:type="dxa" w:w="90"/>
            </w:tcMar>
          </w:tcPr>
          <w:p>
            <w:r>
              <w:rPr>
                <w:b/>
                <w:bCs/>
                <w:color w:val="FFFFFF"/>
                <w:sz w:val="18"/>
                <w:szCs w:val="18"/>
              </w:rPr>
              <w:t xml:space="preserve">Finding</w:t>
            </w:r>
          </w:p>
        </w:tc>
        <w:tc>
          <w:tcPr>
            <w:tcW w:type="dxa" w:w="1500"/>
            <w:tcBorders>
              <w:top w:val="single" w:color="BFBFBF" w:sz="4"/>
              <w:left w:val="single" w:color="BFBFBF" w:sz="4"/>
              <w:bottom w:val="single" w:color="BFBFBF" w:sz="4"/>
              <w:right w:val="single" w:color="BFBFBF" w:sz="4"/>
            </w:tcBorders>
            <w:shd w:fill="1F4E5F" w:val="clear"/>
            <w:tcMar>
              <w:top w:type="dxa" w:w="70"/>
              <w:left w:type="dxa" w:w="90"/>
              <w:bottom w:type="dxa" w:w="70"/>
              <w:right w:type="dxa" w:w="90"/>
            </w:tcMar>
          </w:tcPr>
          <w:p>
            <w:r>
              <w:rPr>
                <w:b/>
                <w:bCs/>
                <w:color w:val="FFFFFF"/>
                <w:sz w:val="18"/>
                <w:szCs w:val="18"/>
              </w:rPr>
              <w:t xml:space="preserve">Severity</w:t>
            </w:r>
          </w:p>
        </w:tc>
        <w:tc>
          <w:tcPr>
            <w:tcW w:type="dxa" w:w="1660"/>
            <w:tcBorders>
              <w:top w:val="single" w:color="BFBFBF" w:sz="4"/>
              <w:left w:val="single" w:color="BFBFBF" w:sz="4"/>
              <w:bottom w:val="single" w:color="BFBFBF" w:sz="4"/>
              <w:right w:val="single" w:color="BFBFBF" w:sz="4"/>
            </w:tcBorders>
            <w:shd w:fill="1F4E5F" w:val="clear"/>
            <w:tcMar>
              <w:top w:type="dxa" w:w="70"/>
              <w:left w:type="dxa" w:w="90"/>
              <w:bottom w:type="dxa" w:w="70"/>
              <w:right w:type="dxa" w:w="90"/>
            </w:tcMar>
          </w:tcPr>
          <w:p>
            <w:r>
              <w:rPr>
                <w:b/>
                <w:bCs/>
                <w:color w:val="FFFFFF"/>
                <w:sz w:val="18"/>
                <w:szCs w:val="18"/>
              </w:rPr>
              <w:t xml:space="preserve">Owner</w:t>
            </w:r>
          </w:p>
        </w:tc>
        <w:tc>
          <w:tcPr>
            <w:tcW w:type="dxa" w:w="700"/>
            <w:tcBorders>
              <w:top w:val="single" w:color="BFBFBF" w:sz="4"/>
              <w:left w:val="single" w:color="BFBFBF" w:sz="4"/>
              <w:bottom w:val="single" w:color="BFBFBF" w:sz="4"/>
              <w:right w:val="single" w:color="BFBFBF" w:sz="4"/>
            </w:tcBorders>
            <w:shd w:fill="1F4E5F" w:val="clear"/>
            <w:tcMar>
              <w:top w:type="dxa" w:w="70"/>
              <w:left w:type="dxa" w:w="90"/>
              <w:bottom w:type="dxa" w:w="70"/>
              <w:right w:type="dxa" w:w="90"/>
            </w:tcMar>
          </w:tcPr>
          <w:p>
            <w:r>
              <w:rPr>
                <w:b/>
                <w:bCs/>
                <w:color w:val="FFFFFF"/>
                <w:sz w:val="18"/>
                <w:szCs w:val="18"/>
              </w:rPr>
              <w:t xml:space="preserve">Due</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F-01</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Third-party / vendor risk management process absent</w:t>
            </w:r>
          </w:p>
        </w:tc>
        <w:tc>
          <w:tcPr>
            <w:tcW w:type="dxa" w:w="1500"/>
            <w:tcBorders>
              <w:top w:val="single" w:color="BFBFBF" w:sz="4"/>
              <w:left w:val="single" w:color="BFBFBF" w:sz="4"/>
              <w:bottom w:val="single" w:color="BFBFBF" w:sz="4"/>
              <w:right w:val="single" w:color="BFBFBF" w:sz="4"/>
            </w:tcBorders>
            <w:shd w:fill="F8D7DA" w:val="clear"/>
            <w:tcMar>
              <w:top w:type="dxa" w:w="70"/>
              <w:left w:type="dxa" w:w="90"/>
              <w:bottom w:type="dxa" w:w="70"/>
              <w:right w:type="dxa" w:w="90"/>
            </w:tcMar>
          </w:tcPr>
          <w:p>
            <w:r>
              <w:rPr>
                <w:b/>
                <w:bCs/>
                <w:color w:val="721C24"/>
                <w:sz w:val="18"/>
                <w:szCs w:val="18"/>
              </w:rPr>
              <w:t xml:space="preserve">Critical</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Security/Compliance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2026-08-05</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F-02</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No vulnerability scanning or patch SLA; end-of-support hosts in production</w:t>
            </w:r>
          </w:p>
        </w:tc>
        <w:tc>
          <w:tcPr>
            <w:tcW w:type="dxa" w:w="1500"/>
            <w:tcBorders>
              <w:top w:val="single" w:color="BFBFBF" w:sz="4"/>
              <w:left w:val="single" w:color="BFBFBF" w:sz="4"/>
              <w:bottom w:val="single" w:color="BFBFBF" w:sz="4"/>
              <w:right w:val="single" w:color="BFBFBF" w:sz="4"/>
            </w:tcBorders>
            <w:shd w:fill="F8D7DA" w:val="clear"/>
            <w:tcMar>
              <w:top w:type="dxa" w:w="70"/>
              <w:left w:type="dxa" w:w="90"/>
              <w:bottom w:type="dxa" w:w="70"/>
              <w:right w:type="dxa" w:w="90"/>
            </w:tcMar>
          </w:tcPr>
          <w:p>
            <w:r>
              <w:rPr>
                <w:b/>
                <w:bCs/>
                <w:color w:val="721C24"/>
                <w:sz w:val="18"/>
                <w:szCs w:val="18"/>
              </w:rPr>
              <w:t xml:space="preserve">Critical</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Engineering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2026-07-05</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F-03</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Change management lacks consistent approval (40% of sample)</w:t>
            </w:r>
          </w:p>
        </w:tc>
        <w:tc>
          <w:tcPr>
            <w:tcW w:type="dxa" w:w="1500"/>
            <w:tcBorders>
              <w:top w:val="single" w:color="BFBFBF" w:sz="4"/>
              <w:left w:val="single" w:color="BFBFBF" w:sz="4"/>
              <w:bottom w:val="single" w:color="BFBFBF" w:sz="4"/>
              <w:right w:val="single" w:color="BFBFBF" w:sz="4"/>
            </w:tcBorders>
            <w:shd w:fill="F8D7DA" w:val="clear"/>
            <w:tcMar>
              <w:top w:type="dxa" w:w="70"/>
              <w:left w:type="dxa" w:w="90"/>
              <w:bottom w:type="dxa" w:w="70"/>
              <w:right w:type="dxa" w:w="90"/>
            </w:tcMar>
          </w:tcPr>
          <w:p>
            <w:r>
              <w:rPr>
                <w:b/>
                <w:bCs/>
                <w:color w:val="721C24"/>
                <w:sz w:val="18"/>
                <w:szCs w:val="18"/>
              </w:rPr>
              <w:t xml:space="preserve">Critical</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Engineering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2026-07-10</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F-04</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Data classification scheme does not exist</w:t>
            </w:r>
          </w:p>
        </w:tc>
        <w:tc>
          <w:tcPr>
            <w:tcW w:type="dxa" w:w="1500"/>
            <w:tcBorders>
              <w:top w:val="single" w:color="BFBFBF" w:sz="4"/>
              <w:left w:val="single" w:color="BFBFBF" w:sz="4"/>
              <w:bottom w:val="single" w:color="BFBFBF" w:sz="4"/>
              <w:right w:val="single" w:color="BFBFBF" w:sz="4"/>
            </w:tcBorders>
            <w:shd w:fill="FBE1D5" w:val="clear"/>
            <w:tcMar>
              <w:top w:type="dxa" w:w="70"/>
              <w:left w:type="dxa" w:w="90"/>
              <w:bottom w:type="dxa" w:w="70"/>
              <w:right w:type="dxa" w:w="90"/>
            </w:tcMar>
          </w:tcPr>
          <w:p>
            <w:r>
              <w:rPr>
                <w:b/>
                <w:bCs/>
                <w:color w:val="7A3210"/>
                <w:sz w:val="18"/>
                <w:szCs w:val="18"/>
              </w:rPr>
              <w:t xml:space="preserve">High</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Security/Compliance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2026-08-10</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F-05</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Access deprovisioning not timely or SLA-bound (3-9 day delays)</w:t>
            </w:r>
          </w:p>
        </w:tc>
        <w:tc>
          <w:tcPr>
            <w:tcW w:type="dxa" w:w="1500"/>
            <w:tcBorders>
              <w:top w:val="single" w:color="BFBFBF" w:sz="4"/>
              <w:left w:val="single" w:color="BFBFBF" w:sz="4"/>
              <w:bottom w:val="single" w:color="BFBFBF" w:sz="4"/>
              <w:right w:val="single" w:color="BFBFBF" w:sz="4"/>
            </w:tcBorders>
            <w:shd w:fill="FBE1D5" w:val="clear"/>
            <w:tcMar>
              <w:top w:type="dxa" w:w="70"/>
              <w:left w:type="dxa" w:w="90"/>
              <w:bottom w:type="dxa" w:w="70"/>
              <w:right w:type="dxa" w:w="90"/>
            </w:tcMar>
          </w:tcPr>
          <w:p>
            <w:r>
              <w:rPr>
                <w:b/>
                <w:bCs/>
                <w:color w:val="7A3210"/>
                <w:sz w:val="18"/>
                <w:szCs w:val="18"/>
              </w:rPr>
              <w:t xml:space="preserve">High</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IT Administrator</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2026-07-10</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F-06</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MFA not enforced for all user populations (12 accounts)</w:t>
            </w:r>
          </w:p>
        </w:tc>
        <w:tc>
          <w:tcPr>
            <w:tcW w:type="dxa" w:w="1500"/>
            <w:tcBorders>
              <w:top w:val="single" w:color="BFBFBF" w:sz="4"/>
              <w:left w:val="single" w:color="BFBFBF" w:sz="4"/>
              <w:bottom w:val="single" w:color="BFBFBF" w:sz="4"/>
              <w:right w:val="single" w:color="BFBFBF" w:sz="4"/>
            </w:tcBorders>
            <w:shd w:fill="FBE1D5" w:val="clear"/>
            <w:tcMar>
              <w:top w:type="dxa" w:w="70"/>
              <w:left w:type="dxa" w:w="90"/>
              <w:bottom w:type="dxa" w:w="70"/>
              <w:right w:type="dxa" w:w="90"/>
            </w:tcMar>
          </w:tcPr>
          <w:p>
            <w:r>
              <w:rPr>
                <w:b/>
                <w:bCs/>
                <w:color w:val="7A3210"/>
                <w:sz w:val="18"/>
                <w:szCs w:val="18"/>
              </w:rPr>
              <w:t xml:space="preserve">High</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IT Administrator</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2026-07-15</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F-07</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No formal, documented risk assessment methodology</w:t>
            </w:r>
          </w:p>
        </w:tc>
        <w:tc>
          <w:tcPr>
            <w:tcW w:type="dxa" w:w="1500"/>
            <w:tcBorders>
              <w:top w:val="single" w:color="BFBFBF" w:sz="4"/>
              <w:left w:val="single" w:color="BFBFBF" w:sz="4"/>
              <w:bottom w:val="single" w:color="BFBFBF" w:sz="4"/>
              <w:right w:val="single" w:color="BFBFBF" w:sz="4"/>
            </w:tcBorders>
            <w:shd w:fill="FFF3CD" w:val="clear"/>
            <w:tcMar>
              <w:top w:type="dxa" w:w="70"/>
              <w:left w:type="dxa" w:w="90"/>
              <w:bottom w:type="dxa" w:w="70"/>
              <w:right w:type="dxa" w:w="90"/>
            </w:tcMar>
          </w:tcPr>
          <w:p>
            <w:r>
              <w:rPr>
                <w:b/>
                <w:bCs/>
                <w:color w:val="856404"/>
                <w:sz w:val="18"/>
                <w:szCs w:val="18"/>
              </w:rPr>
              <w:t xml:space="preserve">Medium</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Security/Compliance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2026-08-20</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F-08</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No documented security log review process</w:t>
            </w:r>
          </w:p>
        </w:tc>
        <w:tc>
          <w:tcPr>
            <w:tcW w:type="dxa" w:w="1500"/>
            <w:tcBorders>
              <w:top w:val="single" w:color="BFBFBF" w:sz="4"/>
              <w:left w:val="single" w:color="BFBFBF" w:sz="4"/>
              <w:bottom w:val="single" w:color="BFBFBF" w:sz="4"/>
              <w:right w:val="single" w:color="BFBFBF" w:sz="4"/>
            </w:tcBorders>
            <w:shd w:fill="FFF3CD" w:val="clear"/>
            <w:tcMar>
              <w:top w:type="dxa" w:w="70"/>
              <w:left w:type="dxa" w:w="90"/>
              <w:bottom w:type="dxa" w:w="70"/>
              <w:right w:type="dxa" w:w="90"/>
            </w:tcMar>
          </w:tcPr>
          <w:p>
            <w:r>
              <w:rPr>
                <w:b/>
                <w:bCs/>
                <w:color w:val="856404"/>
                <w:sz w:val="18"/>
                <w:szCs w:val="18"/>
              </w:rPr>
              <w:t xml:space="preserve">Medium</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Security/Compliance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2026-08-01</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F-09</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Incident response plan untested in past 12 months</w:t>
            </w:r>
          </w:p>
        </w:tc>
        <w:tc>
          <w:tcPr>
            <w:tcW w:type="dxa" w:w="1500"/>
            <w:tcBorders>
              <w:top w:val="single" w:color="BFBFBF" w:sz="4"/>
              <w:left w:val="single" w:color="BFBFBF" w:sz="4"/>
              <w:bottom w:val="single" w:color="BFBFBF" w:sz="4"/>
              <w:right w:val="single" w:color="BFBFBF" w:sz="4"/>
            </w:tcBorders>
            <w:shd w:fill="FFF3CD" w:val="clear"/>
            <w:tcMar>
              <w:top w:type="dxa" w:w="70"/>
              <w:left w:type="dxa" w:w="90"/>
              <w:bottom w:type="dxa" w:w="70"/>
              <w:right w:type="dxa" w:w="90"/>
            </w:tcMar>
          </w:tcPr>
          <w:p>
            <w:r>
              <w:rPr>
                <w:b/>
                <w:bCs/>
                <w:color w:val="856404"/>
                <w:sz w:val="18"/>
                <w:szCs w:val="18"/>
              </w:rPr>
              <w:t xml:space="preserve">Medium</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Security/Compliance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2026-09-01</w:t>
            </w:r>
          </w:p>
        </w:tc>
      </w:tr>
      <w:tr>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bCs/>
                <w:sz w:val="18"/>
                <w:szCs w:val="18"/>
              </w:rPr>
              <w:t xml:space="preserve">F-10</w:t>
            </w:r>
          </w:p>
        </w:tc>
        <w:tc>
          <w:tcPr>
            <w:tcW w:type="dxa" w:w="48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Backup restoration untested in past 12 months</w:t>
            </w:r>
          </w:p>
        </w:tc>
        <w:tc>
          <w:tcPr>
            <w:tcW w:type="dxa" w:w="1500"/>
            <w:tcBorders>
              <w:top w:val="single" w:color="BFBFBF" w:sz="4"/>
              <w:left w:val="single" w:color="BFBFBF" w:sz="4"/>
              <w:bottom w:val="single" w:color="BFBFBF" w:sz="4"/>
              <w:right w:val="single" w:color="BFBFBF" w:sz="4"/>
            </w:tcBorders>
            <w:shd w:fill="FFF3CD" w:val="clear"/>
            <w:tcMar>
              <w:top w:type="dxa" w:w="70"/>
              <w:left w:type="dxa" w:w="90"/>
              <w:bottom w:type="dxa" w:w="70"/>
              <w:right w:type="dxa" w:w="90"/>
            </w:tcMar>
          </w:tcPr>
          <w:p>
            <w:r>
              <w:rPr>
                <w:b/>
                <w:bCs/>
                <w:color w:val="856404"/>
                <w:sz w:val="18"/>
                <w:szCs w:val="18"/>
              </w:rPr>
              <w:t xml:space="preserve">Medium</w:t>
            </w:r>
          </w:p>
        </w:tc>
        <w:tc>
          <w:tcPr>
            <w:tcW w:type="dxa" w:w="166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Engineering Lead</w:t>
            </w:r>
          </w:p>
        </w:tc>
        <w:tc>
          <w:tcPr>
            <w:tcW w:type="dxa" w:w="700"/>
            <w:tcBorders>
              <w:top w:val="single" w:color="BFBFBF" w:sz="4"/>
              <w:left w:val="single" w:color="BFBFBF" w:sz="4"/>
              <w:bottom w:val="single" w:color="BFBFBF" w:sz="4"/>
              <w:right w:val="single" w:color="BFBFBF" w:sz="4"/>
            </w:tcBorders>
            <w:tcMar>
              <w:top w:type="dxa" w:w="70"/>
              <w:left w:type="dxa" w:w="90"/>
              <w:bottom w:type="dxa" w:w="70"/>
              <w:right w:type="dxa" w:w="90"/>
            </w:tcMar>
          </w:tcPr>
          <w:p>
            <w:r>
              <w:rPr>
                <w:b w:val="false"/>
                <w:bCs w:val="false"/>
                <w:sz w:val="18"/>
                <w:szCs w:val="18"/>
              </w:rPr>
              <w:t xml:space="preserve">2026-08-15</w:t>
            </w:r>
          </w:p>
        </w:tc>
      </w:tr>
    </w:tbl>
    <w:p>
      <w:pPr>
        <w:pStyle w:val="Heading2"/>
      </w:pPr>
      <w:r>
        <w:t xml:space="preserve">Lessons Learned</w:t>
      </w:r>
    </w:p>
    <w:p>
      <w:pPr>
        <w:spacing w:after="120"/>
      </w:pPr>
      <w:r>
        <w:t xml:space="preserve">Three patterns are worth highlighting beyond the individual findings themselves. First, every Critical finding (F-01, F-02, F-03) represents an area of active, current exposure rather than a documentation gap alone — vulnerability scanning, vendor oversight, and deployment approval are all things that could be exploited or fail today, which is why they were prioritized above findings that, while real, are presently contained (such as an untested but existing backup or IR plan). Second, the audit surfaced a consistent root-cause pattern: several findings (F-04, F-07, F-08) share a common underlying cause — the absence of a named, accountable process owner for governance functions that fall outside any single engineer's day-to-day responsibilities. Third, two findings (F-09, F-10) reflect the same general lesson already learned in this auditor's prior incident response tabletop exercise work: a written plan or configured safeguard that has never been tested under realistic conditions cannot be assumed to work as intended.</w:t>
      </w:r>
    </w:p>
    <w:p>
      <w:pPr>
        <w:pStyle w:val="Heading2"/>
      </w:pPr>
      <w:r>
        <w:t xml:space="preserve">Corrective Action Plan (CAP)</w:t>
      </w:r>
    </w:p>
    <w:p>
      <w:pPr>
        <w:spacing w:after="120"/>
      </w:pPr>
      <w:r>
        <w:t xml:space="preserve">Remediation is sequenced in three phases based on severity and dependency, consistent with the audit's finding that Critical items represent active exposure requiring immediate attention.</w:t>
      </w:r>
    </w:p>
    <w:p>
      <w:pPr>
        <w:spacing w:after="60" w:before="100"/>
      </w:pPr>
      <w:r>
        <w:rPr>
          <w:b/>
          <w:bCs/>
          <w:sz w:val="21"/>
          <w:szCs w:val="21"/>
        </w:rPr>
        <w:t xml:space="preserve">Phase 1 — Immediate (0–30 days): Critical Findings</w:t>
      </w:r>
    </w:p>
    <w:p>
      <w:pPr>
        <w:pStyle w:val="ListParagraph"/>
        <w:numPr>
          <w:ilvl w:val="0"/>
          <w:numId w:val="2"/>
        </w:numPr>
        <w:spacing w:after="50"/>
      </w:pPr>
      <w:r>
        <w:t xml:space="preserve">F-02: Resume monthly vulnerability scanning; patch or decommission end-of-support hosts. Owner: Engineering Lead. Due: 2026-07-05.</w:t>
      </w:r>
    </w:p>
    <w:p>
      <w:pPr>
        <w:pStyle w:val="ListParagraph"/>
        <w:numPr>
          <w:ilvl w:val="0"/>
          <w:numId w:val="2"/>
        </w:numPr>
        <w:spacing w:after="50"/>
      </w:pPr>
      <w:r>
        <w:t xml:space="preserve">F-03: Enforce mandatory second-approver review via branch protection rules, no exceptions. Owner: Engineering Lead. Due: 2026-07-10.</w:t>
      </w:r>
    </w:p>
    <w:p>
      <w:pPr>
        <w:pStyle w:val="ListParagraph"/>
        <w:numPr>
          <w:ilvl w:val="0"/>
          <w:numId w:val="2"/>
        </w:numPr>
        <w:spacing w:after="50"/>
      </w:pPr>
      <w:r>
        <w:t xml:space="preserve">F-05: Document and implement a same-day access revocation SLA. Owner: IT Administrator. Due: 2026-07-10.</w:t>
      </w:r>
    </w:p>
    <w:p>
      <w:pPr>
        <w:pStyle w:val="ListParagraph"/>
        <w:numPr>
          <w:ilvl w:val="0"/>
          <w:numId w:val="2"/>
        </w:numPr>
        <w:spacing w:after="50"/>
      </w:pPr>
      <w:r>
        <w:t xml:space="preserve">F-06: Enforce MFA at the identity provider level for all remaining user populations. Owner: IT Administrator. Due: 2026-07-15.</w:t>
      </w:r>
    </w:p>
    <w:p>
      <w:pPr>
        <w:spacing w:after="60" w:before="100"/>
      </w:pPr>
      <w:r>
        <w:rPr>
          <w:b/>
          <w:bCs/>
          <w:sz w:val="21"/>
          <w:szCs w:val="21"/>
        </w:rPr>
        <w:t xml:space="preserve">Phase 2 — Near-term (31–60 days): High and Selected Medium Findings</w:t>
      </w:r>
    </w:p>
    <w:p>
      <w:pPr>
        <w:pStyle w:val="ListParagraph"/>
        <w:numPr>
          <w:ilvl w:val="0"/>
          <w:numId w:val="2"/>
        </w:numPr>
        <w:spacing w:after="50"/>
      </w:pPr>
      <w:r>
        <w:t xml:space="preserve">F-01: Establish a vendor risk assessment process and complete reviews for all critical vendors. Owner: Security/Compliance Lead. Due: 2026-08-05.</w:t>
      </w:r>
    </w:p>
    <w:p>
      <w:pPr>
        <w:pStyle w:val="ListParagraph"/>
        <w:numPr>
          <w:ilvl w:val="0"/>
          <w:numId w:val="2"/>
        </w:numPr>
        <w:spacing w:after="50"/>
      </w:pPr>
      <w:r>
        <w:t xml:space="preserve">F-04: Develop and communicate a data classification scheme. Owner: Security/Compliance Lead. Due: 2026-08-10.</w:t>
      </w:r>
    </w:p>
    <w:p>
      <w:pPr>
        <w:pStyle w:val="ListParagraph"/>
        <w:numPr>
          <w:ilvl w:val="0"/>
          <w:numId w:val="2"/>
        </w:numPr>
        <w:spacing w:after="50"/>
      </w:pPr>
      <w:r>
        <w:t xml:space="preserve">F-10: Perform and document a full backup restoration test. Owner: Engineering Lead. Due: 2026-08-15.</w:t>
      </w:r>
    </w:p>
    <w:p>
      <w:pPr>
        <w:pStyle w:val="ListParagraph"/>
        <w:numPr>
          <w:ilvl w:val="0"/>
          <w:numId w:val="2"/>
        </w:numPr>
        <w:spacing w:after="50"/>
      </w:pPr>
      <w:r>
        <w:t xml:space="preserve">F-08: Document a log review cadence and assign named alert-triage ownership. Owner: Security/Compliance Lead. Due: 2026-08-01.</w:t>
      </w:r>
    </w:p>
    <w:p>
      <w:pPr>
        <w:spacing w:after="60" w:before="100"/>
      </w:pPr>
      <w:r>
        <w:rPr>
          <w:b/>
          <w:bCs/>
          <w:sz w:val="21"/>
          <w:szCs w:val="21"/>
        </w:rPr>
        <w:t xml:space="preserve">Phase 3 — Medium-term (61–90 days): Remaining Medium Findings</w:t>
      </w:r>
    </w:p>
    <w:p>
      <w:pPr>
        <w:pStyle w:val="ListParagraph"/>
        <w:numPr>
          <w:ilvl w:val="0"/>
          <w:numId w:val="2"/>
        </w:numPr>
        <w:spacing w:after="50"/>
      </w:pPr>
      <w:r>
        <w:t xml:space="preserve">F-07: Formalize a documented risk register with a defined scoring methodology. Owner: Security/Compliance Lead. Due: 2026-08-20.</w:t>
      </w:r>
    </w:p>
    <w:p>
      <w:pPr>
        <w:pStyle w:val="ListParagraph"/>
        <w:numPr>
          <w:ilvl w:val="0"/>
          <w:numId w:val="2"/>
        </w:numPr>
        <w:spacing w:after="50"/>
      </w:pPr>
      <w:r>
        <w:t xml:space="preserve">F-09: Conduct a tabletop exercise and establish a recurring semi-annual testing cadence. Owner: Security/Compliance Lead. Due: 2026-09-01.</w:t>
      </w:r>
    </w:p>
    <w:p>
      <w:pPr>
        <w:spacing w:before="150"/>
      </w:pPr>
      <w:r>
        <w:t xml:space="preserve">A follow-up audit reviewing all 10 findings for closure is recommended at the 90-day mark, prior to scheduling the formal external SOC 2 Type II observation period or ISO 27001 certification audit.</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3"/>
      </w:pBdr>
    </w:pPr>
    <w:r>
      <w:rPr>
        <w:color w:val="555555"/>
        <w:sz w:val="16"/>
        <w:szCs w:val="16"/>
      </w:rPr>
      <w:t xml:space="preserve">Vantage Cloud Solutions — Internal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3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4E5F"/>
      <w:sz w:val="27"/>
      <w:szCs w:val="27"/>
    </w:rPr>
  </w:style>
  <w:style w:type="paragraph" w:styleId="Heading2">
    <w:name w:val="Heading 2"/>
    <w:basedOn w:val="Normal"/>
    <w:next w:val="Normal"/>
    <w:qFormat/>
    <w:pPr>
      <w:spacing w:after="90" w:before="180"/>
      <w:outlineLvl w:val="1"/>
    </w:pPr>
    <w:rPr>
      <w:rFonts w:ascii="Arial" w:cs="Arial" w:eastAsia="Arial" w:hAnsi="Arial"/>
      <w:b/>
      <w:bCs/>
      <w:color w:val="1F4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2026-06-21T20:09:09.423Z</dcterms:created>
  <dcterms:modified xsi:type="dcterms:W3CDTF">2026-06-21T20:09:09.423Z</dcterms:modified>
</cp:coreProperties>
</file>

<file path=docProps/custom.xml><?xml version="1.0" encoding="utf-8"?>
<Properties xmlns="http://schemas.openxmlformats.org/officeDocument/2006/custom-properties" xmlns:vt="http://schemas.openxmlformats.org/officeDocument/2006/docPropsVTypes"/>
</file>