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36"/>
          <w:lang w:eastAsia="zh-CN"/>
        </w:rPr>
      </w:pPr>
      <w:r>
        <w:rPr>
          <w:sz w:val="36"/>
        </w:rPr>
        <w:t>商品房预售资金监管流程</w:t>
      </w:r>
    </w:p>
    <w:p>
      <w:pPr>
        <w:jc w:val="left"/>
        <w:rPr>
          <w:rFonts w:hint="eastAsia" w:eastAsia="宋体"/>
          <w:sz w:val="36"/>
          <w:lang w:eastAsia="zh-CN"/>
        </w:rPr>
      </w:pPr>
    </w:p>
    <w:p>
      <w:pPr>
        <w:jc w:val="left"/>
        <w:rPr>
          <w:rFonts w:hint="eastAsia" w:ascii="MicrosoftYaHei-Bold" w:hAnsi="MicrosoftYaHei-Bold" w:eastAsia="宋体" w:cs="MicrosoftYaHei-Bold"/>
          <w:b/>
          <w:color w:val="000000"/>
          <w:sz w:val="42"/>
          <w:lang w:eastAsia="zh-CN"/>
        </w:rPr>
      </w:pPr>
    </w:p>
    <w:p>
      <w:pPr>
        <w:jc w:val="left"/>
        <w:rPr>
          <w:rFonts w:hint="eastAsia" w:ascii="MicrosoftYaHei-Bold" w:hAnsi="MicrosoftYaHei-Bold" w:eastAsia="宋体" w:cs="MicrosoftYaHei-Bold"/>
          <w:b/>
          <w:color w:val="000000"/>
          <w:sz w:val="42"/>
          <w:lang w:eastAsia="zh-CN"/>
        </w:rPr>
      </w:pPr>
      <w:bookmarkStart w:id="0" w:name="_GoBack"/>
      <w:r>
        <w:rPr>
          <w:rFonts w:ascii="MicrosoftYaHei-Bold" w:hAnsi="MicrosoftYaHei-Bold" w:eastAsia="MicrosoftYaHei-Bold" w:cs="MicrosoftYaHei-Bold"/>
          <w:b/>
          <w:color w:val="000000"/>
          <w:sz w:val="42"/>
        </w:rPr>
        <w:t xml:space="preserve">商品房预售资金监管流程 </w:t>
      </w:r>
    </w:p>
    <w:bookmarkEnd w:id="0"/>
    <w:p>
      <w:pPr>
        <w:jc w:val="left"/>
        <w:rPr>
          <w:rFonts w:hint="eastAsia" w:ascii="MicrosoftYaHei" w:hAnsi="MicrosoftYaHei" w:eastAsia="宋体" w:cs="MicrosoftYaHei"/>
          <w:color w:val="000000"/>
          <w:sz w:val="42"/>
          <w:lang w:eastAsia="zh-CN"/>
        </w:rPr>
      </w:pPr>
      <w:r>
        <w:rPr>
          <w:rFonts w:ascii="MicrosoftYaHei" w:hAnsi="MicrosoftYaHei" w:eastAsia="MicrosoftYaHei" w:cs="MicrosoftYaHei"/>
          <w:color w:val="000000"/>
          <w:sz w:val="42"/>
        </w:rPr>
        <w:t xml:space="preserve">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一、</w:t>
      </w:r>
      <w:r>
        <w:rPr>
          <w:rFonts w:ascii="宋体" w:hAnsi="宋体" w:eastAsia="宋体" w:cs="宋体"/>
          <w:b/>
          <w:color w:val="000000"/>
          <w:sz w:val="30"/>
        </w:rPr>
        <w:t xml:space="preserve"> </w:t>
      </w:r>
      <w:r>
        <w:rPr>
          <w:rFonts w:ascii="仿宋" w:hAnsi="仿宋" w:eastAsia="仿宋" w:cs="仿宋"/>
          <w:b/>
          <w:color w:val="000000"/>
          <w:sz w:val="30"/>
        </w:rPr>
        <w:t>资金账户开立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在办理商品房预售许可证前，房地产开发企业要选择一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家商业银行作为预售资金监管银行，开立预售资金监管专用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账户，一个预售许可证对应一个资金账户，该账户不得支取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现金。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-办理流程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房地产开发企业向开发科提出账户开立申请——提交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资料——受理审核——开发科向监管银行出具开户通知书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——开立监管账户——监管银行反馈监管账户确认书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-提交的资料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1、预售资金监管账户开立申请表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2、房地产房地产开发企业营业执照及资质证书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3、房地产房地产开发企业委托书及房地产房地产开发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企业经办人身份证明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4、监管银行营业执照、介绍信及银行工作人员身份证明 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二、</w:t>
      </w:r>
      <w:r>
        <w:rPr>
          <w:rFonts w:ascii="宋体" w:hAnsi="宋体" w:eastAsia="宋体" w:cs="宋体"/>
          <w:b/>
          <w:color w:val="000000"/>
          <w:sz w:val="30"/>
        </w:rPr>
        <w:t xml:space="preserve"> </w:t>
      </w:r>
      <w:r>
        <w:rPr>
          <w:rFonts w:ascii="仿宋" w:hAnsi="仿宋" w:eastAsia="仿宋" w:cs="仿宋"/>
          <w:b/>
          <w:color w:val="000000"/>
          <w:sz w:val="30"/>
        </w:rPr>
        <w:t>签订监管协议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开立预售资金监管账户后，房地产开发企业、监管银行、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监管单位（房管局）三方应及时签订《上饶市商品房预售资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金监管协议》，《资金监管协议》是申请办理商品房预售许可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证的必备要件之一。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-办理流程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房地产开发企业到房管局领取《上饶市商品房预售资金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监管协议》——提交资料——受理审核——签订监管协议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-提交的资料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1、《上饶市商品房预售资金监管协议》 
</w:t>
      </w:r>
    </w:p>
    <w:p>
      <w:pPr>
        <w:jc w:val="left"/>
        <w:rPr>
          <w:rFonts w:hint="eastAsia" w:ascii="Calibri" w:hAnsi="Calibri" w:eastAsia="宋体" w:cs="Calibri"/>
          <w:color w:val="000000"/>
          <w:sz w:val="18"/>
          <w:lang w:eastAsia="zh-CN"/>
        </w:rPr>
      </w:pPr>
      <w:r>
        <w:rPr>
          <w:rFonts w:ascii="Calibri" w:hAnsi="Calibri" w:eastAsia="Calibri" w:cs="Calibri"/>
          <w:color w:val="000000"/>
          <w:sz w:val="18"/>
        </w:rPr>
        <w:t>1 
</w:t>
      </w:r>
    </w:p>
    <w:p>
      <w:pPr>
        <w:jc w:val="left"/>
      </w:pPr>
      <w:r>
        <w:rPr>
          <w:rFonts w:ascii="Calibri" w:hAnsi="Calibri" w:eastAsia="Calibri" w:cs="Calibri"/>
          <w:color w:val="000000"/>
          <w:sz w:val="18"/>
        </w:rPr>
        <w:t xml:space="preserve">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2、施工合同及建筑材料、设备购销合同等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3、资金使用计划表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4、项目成本概算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5、银行经办人员委托书及身份证明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6、与资金监管相关的其他资料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施工合同及建筑材料、设备购销合同发生变更的，房地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产房地产开发企业应当自变更之日起15个工作日内向开发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科提供变更后的相关资料。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三、</w:t>
      </w:r>
      <w:r>
        <w:rPr>
          <w:rFonts w:ascii="宋体" w:hAnsi="宋体" w:eastAsia="宋体" w:cs="宋体"/>
          <w:b/>
          <w:color w:val="000000"/>
          <w:sz w:val="30"/>
        </w:rPr>
        <w:t xml:space="preserve"> </w:t>
      </w:r>
      <w:r>
        <w:rPr>
          <w:rFonts w:ascii="仿宋" w:hAnsi="仿宋" w:eastAsia="仿宋" w:cs="仿宋"/>
          <w:b/>
          <w:color w:val="000000"/>
          <w:sz w:val="30"/>
        </w:rPr>
        <w:t>监管账户变更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商品房预售资金监管账户开立后，因特殊情况确需变更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的，应当征得原监管银行和监管单位书面同意。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-办理流程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房地产开发企业向开发科提出账户变更申请——提交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资料——受理审核——开发科向监管银行出具变更通知书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——办理变更 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 </w:t>
      </w:r>
      <w:r>
        <w:rPr>
          <w:rFonts w:ascii="仿宋" w:hAnsi="仿宋" w:eastAsia="仿宋" w:cs="仿宋"/>
          <w:b/>
          <w:color w:val="000000"/>
          <w:sz w:val="30"/>
        </w:rPr>
        <w:t>-提交的资料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1、《上饶市商品房预售资金监管账户变更申请表》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2、证明监管账户需要变更的相关材料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3、原监管银行出具同意变更监管账户的证明材料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4、新监管银行营业执照、介绍信及银行工作人员身份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证明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要求变更监管账户时，已签订了《监管协议》的，房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地产开发企业还应当交回《监管协议》原件，解除原《监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管协议》，并与新监管银行签订三方《监管协议》。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四、</w:t>
      </w:r>
      <w:r>
        <w:rPr>
          <w:rFonts w:ascii="宋体" w:hAnsi="宋体" w:eastAsia="宋体" w:cs="宋体"/>
          <w:b/>
          <w:color w:val="000000"/>
          <w:sz w:val="30"/>
        </w:rPr>
        <w:t xml:space="preserve"> </w:t>
      </w:r>
      <w:r>
        <w:rPr>
          <w:rFonts w:ascii="仿宋" w:hAnsi="仿宋" w:eastAsia="仿宋" w:cs="仿宋"/>
          <w:b/>
          <w:color w:val="000000"/>
          <w:sz w:val="30"/>
        </w:rPr>
        <w:t>购房款交存和监管资金入账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监管项目办理了商品房预售许可证后，房地产房地产开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发企业出售商品房所取得的所有购房款必须交存到监管账
</w:t>
      </w:r>
    </w:p>
    <w:p>
      <w:pPr>
        <w:jc w:val="left"/>
        <w:rPr>
          <w:rFonts w:hint="eastAsia" w:ascii="Calibri" w:hAnsi="Calibri" w:eastAsia="宋体" w:cs="Calibri"/>
          <w:color w:val="000000"/>
          <w:sz w:val="18"/>
          <w:lang w:eastAsia="zh-CN"/>
        </w:rPr>
      </w:pPr>
      <w:r>
        <w:rPr>
          <w:rFonts w:ascii="Calibri" w:hAnsi="Calibri" w:eastAsia="Calibri" w:cs="Calibri"/>
          <w:color w:val="000000"/>
          <w:sz w:val="18"/>
        </w:rPr>
        <w:t>2 
</w:t>
      </w:r>
    </w:p>
    <w:p>
      <w:pPr>
        <w:jc w:val="left"/>
      </w:pPr>
      <w:r>
        <w:rPr>
          <w:rFonts w:ascii="Calibri" w:hAnsi="Calibri" w:eastAsia="Calibri" w:cs="Calibri"/>
          <w:color w:val="000000"/>
          <w:sz w:val="18"/>
        </w:rPr>
        <w:t xml:space="preserve">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户，开发科见购房款已交至监管账户的证明材料后，对商品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房买卖合同予以备案。 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-办理流程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购房人向监管账户缴交购房款——签订商品房买卖合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同——房地产房地产开发企业向开发科申请商品房买卖合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同备案—提交资料——办理商品房买卖合同备案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-提交的资料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经监管银行和房地产房地产开发企业盖章确认购房款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已进入监管账户的商品房买卖合同备案申请表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 xml:space="preserve">-缴款方式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1、银行柜台缴款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2、专用POS机缴款 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如发现购房款不是直接缴交到预售资金监管专用账户，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而是先缴交至其他账户后转至监管账户，或除首付款外其他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购房款不缴交到预售资金监管专用账户的，房管局将责令房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地产房地产开发企业限期整改，不整改到位的，将暂停该房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地产房地产开发企业网签备案及资金拨付。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五、</w:t>
      </w:r>
      <w:r>
        <w:rPr>
          <w:rFonts w:ascii="宋体" w:hAnsi="宋体" w:eastAsia="宋体" w:cs="宋体"/>
          <w:b/>
          <w:color w:val="000000"/>
          <w:sz w:val="30"/>
        </w:rPr>
        <w:t xml:space="preserve"> </w:t>
      </w:r>
      <w:r>
        <w:rPr>
          <w:rFonts w:ascii="仿宋" w:hAnsi="仿宋" w:eastAsia="仿宋" w:cs="仿宋"/>
          <w:b/>
          <w:color w:val="000000"/>
          <w:sz w:val="30"/>
        </w:rPr>
        <w:t>监管资金的申请和拨付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监管项目取得商品房预售许可证后，建成的房屋进度达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到总层数三分之一以上的，房地产房地产开发企业可以开始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申请使用预售资金。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-使用节点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1、施工进度达到规划设计总层数三分之一以上不到一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半的，可以申请不超过已收到商品房预售监管资金35%的资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金额度；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2、施工进度达到规划设计总层数一半的，可以申请不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超过已收到商品房预售监管资金50%的资金额度； 
</w:t>
      </w:r>
    </w:p>
    <w:p>
      <w:pPr>
        <w:jc w:val="left"/>
        <w:rPr>
          <w:rFonts w:hint="eastAsia" w:ascii="Calibri" w:hAnsi="Calibri" w:eastAsia="宋体" w:cs="Calibri"/>
          <w:color w:val="000000"/>
          <w:sz w:val="18"/>
          <w:lang w:eastAsia="zh-CN"/>
        </w:rPr>
      </w:pPr>
      <w:r>
        <w:rPr>
          <w:rFonts w:ascii="Calibri" w:hAnsi="Calibri" w:eastAsia="Calibri" w:cs="Calibri"/>
          <w:color w:val="000000"/>
          <w:sz w:val="18"/>
        </w:rPr>
        <w:t>3 
</w:t>
      </w:r>
    </w:p>
    <w:p>
      <w:pPr>
        <w:jc w:val="left"/>
      </w:pPr>
      <w:r>
        <w:rPr>
          <w:rFonts w:ascii="Calibri" w:hAnsi="Calibri" w:eastAsia="Calibri" w:cs="Calibri"/>
          <w:color w:val="000000"/>
          <w:sz w:val="18"/>
        </w:rPr>
        <w:t xml:space="preserve">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3、主体已封顶的，可以申请不超过已收到商品房预售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监管资金70%的资金额度；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4、完成室外基础配套设施的，可以申请不超过已收到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商品房预售监管资金85%的资金额度；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5、已办理房屋所有权首次登记并达到购房人可单方办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理房屋转移登记条件的，解除资金监管。在解除监管前，监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管账户余额不得少于已交存资金总额的15%。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为保证房地产房地产开发企业正常开展业务，可以向监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管单位申请不超过已收存预售资金余额10%的备用金，备用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金申请应在监管项目施工进度达到规划设计总层数三分之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一以上时。需要补充备用金的，房地产房地产开发企业应当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提供已使用的备用金用途证明。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预售资金申请金额为：（所有已交存监管账户的资金-所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有已使用的资金）*可使用额度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达到使用节点的预售监管资金，房地产房地产开发企业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每个月向开发科申请一次拨付。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-使用节点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房地产开发企业向开发科提出资金使用申请——提交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资料——受理审核——查看施工现场--开发科向监管银行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出具拨付通知书——银行拨付资金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-提交的资料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1、《上饶市商品房预售监管资金使用申请表》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2、委托书、经办人身份证明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3、资金使用节点证明材料，以监管项目现场照片及监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理公司出具的施工进度说明为准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4、根据不同申请款项提供下列材料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①申请使用工程款的，提供监理公司出具的造价证明 
</w:t>
      </w:r>
    </w:p>
    <w:p>
      <w:pPr>
        <w:jc w:val="left"/>
        <w:rPr>
          <w:rFonts w:hint="eastAsia" w:ascii="Calibri" w:hAnsi="Calibri" w:eastAsia="宋体" w:cs="Calibri"/>
          <w:color w:val="000000"/>
          <w:sz w:val="18"/>
          <w:lang w:eastAsia="zh-CN"/>
        </w:rPr>
      </w:pPr>
      <w:r>
        <w:rPr>
          <w:rFonts w:ascii="Calibri" w:hAnsi="Calibri" w:eastAsia="Calibri" w:cs="Calibri"/>
          <w:color w:val="000000"/>
          <w:sz w:val="18"/>
        </w:rPr>
        <w:t>4 
</w:t>
      </w:r>
    </w:p>
    <w:p>
      <w:pPr>
        <w:jc w:val="left"/>
      </w:pPr>
      <w:r>
        <w:rPr>
          <w:rFonts w:ascii="Calibri" w:hAnsi="Calibri" w:eastAsia="Calibri" w:cs="Calibri"/>
          <w:color w:val="000000"/>
          <w:sz w:val="18"/>
        </w:rPr>
        <w:t xml:space="preserve">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②申请使用材料款、设备款、设计、监理费用的，以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签订三方监管协议时提供的合同为准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③</w:t>
      </w:r>
      <w:r>
        <w:rPr>
          <w:rFonts w:ascii="ArialMT" w:hAnsi="ArialMT" w:eastAsia="ArialMT" w:cs="ArialMT"/>
          <w:color w:val="000000"/>
          <w:sz w:val="30"/>
        </w:rPr>
        <w:t xml:space="preserve"> </w:t>
      </w:r>
      <w:r>
        <w:rPr>
          <w:rFonts w:ascii="仿宋" w:hAnsi="仿宋" w:eastAsia="仿宋" w:cs="仿宋"/>
          <w:color w:val="000000"/>
          <w:sz w:val="30"/>
        </w:rPr>
        <w:t>申请法定税费的，提供相关通知证明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④</w:t>
      </w:r>
      <w:r>
        <w:rPr>
          <w:rFonts w:ascii="ArialMT" w:hAnsi="ArialMT" w:eastAsia="ArialMT" w:cs="ArialMT"/>
          <w:color w:val="000000"/>
          <w:sz w:val="30"/>
        </w:rPr>
        <w:t xml:space="preserve"> </w:t>
      </w:r>
      <w:r>
        <w:rPr>
          <w:rFonts w:ascii="仿宋" w:hAnsi="仿宋" w:eastAsia="仿宋" w:cs="仿宋"/>
          <w:color w:val="000000"/>
          <w:sz w:val="30"/>
        </w:rPr>
        <w:t>申请支付保证金的，应当提供按揭贷款保证金支出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的相关证明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⑤</w:t>
      </w:r>
      <w:r>
        <w:rPr>
          <w:rFonts w:ascii="ArialMT" w:hAnsi="ArialMT" w:eastAsia="ArialMT" w:cs="ArialMT"/>
          <w:color w:val="000000"/>
          <w:sz w:val="30"/>
        </w:rPr>
        <w:t xml:space="preserve"> </w:t>
      </w:r>
      <w:r>
        <w:rPr>
          <w:rFonts w:ascii="仿宋" w:hAnsi="仿宋" w:eastAsia="仿宋" w:cs="仿宋"/>
          <w:color w:val="000000"/>
          <w:sz w:val="30"/>
        </w:rPr>
        <w:t xml:space="preserve">申请拨付不可预见费用的，提供相关用途证明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⑥</w:t>
      </w:r>
      <w:r>
        <w:rPr>
          <w:rFonts w:ascii="ArialMT" w:hAnsi="ArialMT" w:eastAsia="ArialMT" w:cs="ArialMT"/>
          <w:color w:val="000000"/>
          <w:sz w:val="30"/>
        </w:rPr>
        <w:t xml:space="preserve"> </w:t>
      </w:r>
      <w:r>
        <w:rPr>
          <w:rFonts w:ascii="仿宋" w:hAnsi="仿宋" w:eastAsia="仿宋" w:cs="仿宋"/>
          <w:color w:val="000000"/>
          <w:sz w:val="30"/>
        </w:rPr>
        <w:t>申请归还银行贷款的，应当提供银行要求还款的证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明材料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4、银行盖章确认的监管账户资金余额明细表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为减化程序，房地产房地产开发企业在申请使用50%的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监管资金前，每次申请用款只需要向开发科提供《上饶市商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品房预售监管资金使用申请表》、监理公司出具的施工进度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证明材料和银行盖章确认的监管账户资金余额明细表。在申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请使用50%以上的监管资金时，还需要根据不同使用款项提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供相应材料，在每次申请用款时要提交上一次用款事项的收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款票据。房地产房地产开发企业用自有资金购置土地又未进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行项目贷款的，在主体封顶后，可申请拨付土地购置款，但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监管帐户余额不得少于已交存资金总额的15%。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六、</w:t>
      </w:r>
      <w:r>
        <w:rPr>
          <w:rFonts w:ascii="宋体" w:hAnsi="宋体" w:eastAsia="宋体" w:cs="宋体"/>
          <w:b/>
          <w:color w:val="000000"/>
          <w:sz w:val="30"/>
        </w:rPr>
        <w:t xml:space="preserve"> </w:t>
      </w:r>
      <w:r>
        <w:rPr>
          <w:rFonts w:ascii="仿宋" w:hAnsi="仿宋" w:eastAsia="仿宋" w:cs="仿宋"/>
          <w:b/>
          <w:color w:val="000000"/>
          <w:sz w:val="30"/>
        </w:rPr>
        <w:t xml:space="preserve">监管账户的解除 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-办理流程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 xml:space="preserve">   </w:t>
      </w:r>
      <w:r>
        <w:rPr>
          <w:rFonts w:ascii="仿宋" w:hAnsi="仿宋" w:eastAsia="仿宋" w:cs="仿宋"/>
          <w:color w:val="000000"/>
          <w:sz w:val="30"/>
        </w:rPr>
        <w:t xml:space="preserve"> 房地产开发企业向开发科提出解除申请——提交资料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>——受理审核——开发科向银行出具解除监管通知书 
</w:t>
      </w:r>
    </w:p>
    <w:p>
      <w:pPr>
        <w:jc w:val="left"/>
        <w:rPr>
          <w:rFonts w:hint="eastAsia" w:ascii="仿宋" w:hAnsi="仿宋" w:eastAsia="仿宋" w:cs="仿宋"/>
          <w:b/>
          <w:color w:val="000000"/>
          <w:sz w:val="30"/>
          <w:lang w:eastAsia="zh-CN"/>
        </w:rPr>
      </w:pPr>
      <w:r>
        <w:rPr>
          <w:rFonts w:ascii="仿宋" w:hAnsi="仿宋" w:eastAsia="仿宋" w:cs="仿宋"/>
          <w:b/>
          <w:color w:val="000000"/>
          <w:sz w:val="30"/>
        </w:rPr>
        <w:t>-提交的资料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1、《解除预售资金监管申请表》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   2、委托书及经办人身份证明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   3、监管项目已完成首次登并已缴纳销售税款的凭据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 4、银行盖章确认的监管账户资金余额明细表 
</w:t>
      </w:r>
    </w:p>
    <w:p>
      <w:pPr>
        <w:jc w:val="left"/>
        <w:rPr>
          <w:rFonts w:hint="eastAsia" w:ascii="Calibri" w:hAnsi="Calibri" w:eastAsia="宋体" w:cs="Calibri"/>
          <w:color w:val="000000"/>
          <w:sz w:val="18"/>
          <w:lang w:eastAsia="zh-CN"/>
        </w:rPr>
      </w:pPr>
      <w:r>
        <w:rPr>
          <w:rFonts w:ascii="Calibri" w:hAnsi="Calibri" w:eastAsia="Calibri" w:cs="Calibri"/>
          <w:color w:val="000000"/>
          <w:sz w:val="18"/>
        </w:rPr>
        <w:t>5 
</w:t>
      </w:r>
    </w:p>
    <w:p>
      <w:pPr>
        <w:jc w:val="left"/>
      </w:pPr>
      <w:r>
        <w:rPr>
          <w:rFonts w:ascii="Calibri" w:hAnsi="Calibri" w:eastAsia="Calibri" w:cs="Calibri"/>
          <w:color w:val="000000"/>
          <w:sz w:val="18"/>
        </w:rPr>
        <w:t xml:space="preserve"> 
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 </w:t>
      </w:r>
    </w:p>
    <w:p>
      <w:pPr>
        <w:jc w:val="left"/>
        <w:rPr>
          <w:rFonts w:hint="eastAsia" w:ascii="仿宋" w:hAnsi="仿宋" w:eastAsia="仿宋" w:cs="仿宋"/>
          <w:color w:val="000000"/>
          <w:sz w:val="30"/>
          <w:lang w:eastAsia="zh-CN"/>
        </w:rPr>
      </w:pPr>
      <w:r>
        <w:rPr>
          <w:rFonts w:ascii="仿宋" w:hAnsi="仿宋" w:eastAsia="仿宋" w:cs="仿宋"/>
          <w:color w:val="000000"/>
          <w:sz w:val="30"/>
        </w:rPr>
        <w:t xml:space="preserve"> 
</w:t>
      </w:r>
    </w:p>
    <w:p>
      <w:pPr>
        <w:jc w:val="left"/>
        <w:rPr>
          <w:rFonts w:hint="eastAsia" w:ascii="Calibri" w:hAnsi="Calibri" w:eastAsia="宋体" w:cs="Calibri"/>
          <w:color w:val="000000"/>
          <w:sz w:val="18"/>
          <w:lang w:eastAsia="zh-CN"/>
        </w:rPr>
      </w:pPr>
      <w:r>
        <w:rPr>
          <w:rFonts w:ascii="Calibri" w:hAnsi="Calibri" w:eastAsia="Calibri" w:cs="Calibri"/>
          <w:color w:val="000000"/>
          <w:sz w:val="18"/>
        </w:rPr>
        <w:t>6 
</w:t>
      </w:r>
    </w:p>
    <w:p>
      <w:pPr>
        <w:jc w:val="left"/>
      </w:pPr>
      <w:r>
        <w:rPr>
          <w:rFonts w:ascii="Calibri" w:hAnsi="Calibri" w:eastAsia="Calibri" w:cs="Calibri"/>
          <w:color w:val="000000"/>
          <w:sz w:val="18"/>
        </w:rPr>
        <w:t xml:space="preserve"> 
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0" distR="0">
            <wp:extent cx="4826000" cy="1016000"/>
            <wp:effectExtent l="0" t="0" r="635" b="0"/>
            <wp:docPr id="3" name="Drawing 2" descr="/root/apache-tomcat-baidu_catch/baiduwenkutmp/2/24152b3b00f69e3143323968011ca300a6c3f60c.pc/5c6176fde9e44fa0834694acec703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/root/apache-tomcat-baidu_catch/baiduwenkutmp/2/24152b3b00f69e3143323968011ca300a6c3f60c.pc/5c6176fde9e44fa0834694acec7030ec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0" distR="0">
            <wp:extent cx="4826000" cy="1016000"/>
            <wp:effectExtent l="0" t="0" r="635" b="0"/>
            <wp:docPr id="4" name="Drawing 3" descr="/root/apache-tomcat-baidu_catch/baiduwenkutmp/2/24152b3b00f69e3143323968011ca300a6c3f60c.pc/5c6176fde9e44fa0834694acec703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/root/apache-tomcat-baidu_catch/baiduwenkutmp/2/24152b3b00f69e3143323968011ca300a6c3f60c.pc/5c6176fde9e44fa0834694acec7030ec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0" distR="0">
            <wp:extent cx="4826000" cy="1016000"/>
            <wp:effectExtent l="0" t="0" r="635" b="0"/>
            <wp:docPr id="5" name="Drawing 4" descr="/root/apache-tomcat-baidu_catch/baiduwenkutmp/2/24152b3b00f69e3143323968011ca300a6c3f60c.pc/5c6176fde9e44fa0834694acec703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/root/apache-tomcat-baidu_catch/baiduwenkutmp/2/24152b3b00f69e3143323968011ca300a6c3f60c.pc/5c6176fde9e44fa0834694acec7030ec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0" distR="0">
            <wp:extent cx="4826000" cy="1016000"/>
            <wp:effectExtent l="0" t="0" r="635" b="0"/>
            <wp:docPr id="6" name="Drawing 5" descr="/root/apache-tomcat-baidu_catch/baiduwenkutmp/2/24152b3b00f69e3143323968011ca300a6c3f60c.pc/5c6176fde9e44fa0834694acec703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/root/apache-tomcat-baidu_catch/baiduwenkutmp/2/24152b3b00f69e3143323968011ca300a6c3f60c.pc/5c6176fde9e44fa0834694acec7030ec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0" distR="0">
            <wp:extent cx="4826000" cy="1016000"/>
            <wp:effectExtent l="0" t="0" r="635" b="0"/>
            <wp:docPr id="7" name="Drawing 6" descr="/root/apache-tomcat-baidu_catch/baiduwenkutmp/2/24152b3b00f69e3143323968011ca300a6c3f60c.pc/5c6176fde9e44fa0834694acec703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/root/apache-tomcat-baidu_catch/baiduwenkutmp/2/24152b3b00f69e3143323968011ca300a6c3f60c.pc/5c6176fde9e44fa0834694acec7030ec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0" distR="0">
            <wp:extent cx="4826000" cy="1016000"/>
            <wp:effectExtent l="0" t="0" r="635" b="0"/>
            <wp:docPr id="8" name="Drawing 7" descr="/root/apache-tomcat-baidu_catch/baiduwenkutmp/2/24152b3b00f69e3143323968011ca300a6c3f60c.pc/5c6176fde9e44fa0834694acec703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/root/apache-tomcat-baidu_catch/baiduwenkutmp/2/24152b3b00f69e3143323968011ca300a6c3f60c.pc/5c6176fde9e44fa0834694acec7030ec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t>版权说明：本文档由用户提供并上传，收益归属内容提供方，若内容存在侵权，请进行举报或认领</w:t>
      </w:r>
    </w:p>
    <w:p>
      <w:pPr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b/>
          <w:sz w:val="38"/>
          <w:lang w:eastAsia="zh-CN"/>
        </w:rPr>
      </w:pPr>
      <w:r>
        <w:rPr>
          <w:b/>
          <w:sz w:val="38"/>
        </w:rPr>
        <w:t>相关推荐</w:t>
      </w:r>
    </w:p>
    <w:p>
      <w:pPr>
        <w:jc w:val="left"/>
        <w:rPr>
          <w:rFonts w:hint="eastAsia" w:eastAsia="宋体"/>
          <w:b/>
          <w:sz w:val="38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商品房预售资金监管流程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商品房预售资金监管流程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商品房预售资金监管流程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商品房预售资金监管流程-整理版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商品房预售资金监管流程-整理版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b/>
          <w:sz w:val="38"/>
          <w:lang w:eastAsia="zh-CN"/>
        </w:rPr>
      </w:pPr>
      <w:r>
        <w:rPr>
          <w:b/>
          <w:sz w:val="38"/>
        </w:rPr>
        <w:t>猜你想看</w:t>
      </w:r>
    </w:p>
    <w:p>
      <w:pPr>
        <w:jc w:val="left"/>
        <w:rPr>
          <w:rFonts w:hint="eastAsia" w:eastAsia="宋体"/>
          <w:b/>
          <w:sz w:val="38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商品房预售资金监管流程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商品房预售资金监管流程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商品房预售资金监管办事指南及表格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商品房预售资金监管业务操作规程(修订版)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商品房预售资金监管作业流程</w:t>
      </w: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</w:p>
    <w:p>
      <w:pPr>
        <w:jc w:val="left"/>
        <w:rPr>
          <w:rFonts w:hint="eastAsia" w:eastAsia="宋体"/>
          <w:b/>
          <w:sz w:val="38"/>
          <w:lang w:eastAsia="zh-CN"/>
        </w:rPr>
      </w:pPr>
      <w:r>
        <w:rPr>
          <w:b/>
          <w:sz w:val="38"/>
        </w:rPr>
        <w:t>相关好店</w:t>
      </w:r>
    </w:p>
    <w:p>
      <w:pPr>
        <w:jc w:val="left"/>
        <w:rPr>
          <w:rFonts w:hint="eastAsia" w:eastAsia="宋体"/>
          <w:b/>
          <w:sz w:val="38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智阳文库</w:t>
      </w:r>
    </w:p>
    <w:p>
      <w:pPr>
        <w:jc w:val="left"/>
        <w:rPr>
          <w:rFonts w:hint="eastAsia" w:eastAsia="宋体"/>
          <w:sz w:val="30"/>
          <w:lang w:eastAsia="zh-CN"/>
        </w:rPr>
      </w:pPr>
      <w:r>
        <w:rPr>
          <w:sz w:val="30"/>
        </w:rPr>
        <w:t>「其它」</w:t>
      </w: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南海南山南</w:t>
      </w:r>
    </w:p>
    <w:p>
      <w:pPr>
        <w:jc w:val="left"/>
        <w:rPr>
          <w:rFonts w:hint="eastAsia" w:eastAsia="宋体"/>
          <w:sz w:val="30"/>
          <w:lang w:eastAsia="zh-CN"/>
        </w:rPr>
      </w:pPr>
      <w:r>
        <w:rPr>
          <w:sz w:val="30"/>
        </w:rPr>
        <w:t>「综合」</w:t>
      </w: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大壮说育儿</w:t>
      </w:r>
    </w:p>
    <w:p>
      <w:pPr>
        <w:jc w:val="left"/>
        <w:rPr>
          <w:rFonts w:hint="eastAsia" w:eastAsia="宋体"/>
          <w:sz w:val="30"/>
          <w:lang w:eastAsia="zh-CN"/>
        </w:rPr>
      </w:pPr>
      <w:r>
        <w:rPr>
          <w:sz w:val="30"/>
        </w:rPr>
        <w:t>「综合」</w:t>
      </w: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清风芦苇</w:t>
      </w:r>
    </w:p>
    <w:p>
      <w:pPr>
        <w:jc w:val="left"/>
        <w:rPr>
          <w:rFonts w:hint="eastAsia" w:eastAsia="宋体"/>
          <w:sz w:val="30"/>
          <w:lang w:eastAsia="zh-CN"/>
        </w:rPr>
      </w:pPr>
      <w:r>
        <w:rPr>
          <w:sz w:val="30"/>
        </w:rPr>
        <w:t>「综合」</w:t>
      </w: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中标书局</w:t>
      </w:r>
    </w:p>
    <w:p>
      <w:pPr>
        <w:jc w:val="left"/>
        <w:rPr>
          <w:rFonts w:hint="eastAsia" w:eastAsia="宋体"/>
          <w:sz w:val="30"/>
          <w:lang w:eastAsia="zh-CN"/>
        </w:rPr>
      </w:pPr>
      <w:r>
        <w:rPr>
          <w:sz w:val="30"/>
        </w:rPr>
        <w:t>「综合」</w:t>
      </w: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4"/>
          <w:lang w:eastAsia="zh-CN"/>
        </w:rPr>
      </w:pPr>
      <w:r>
        <w:rPr>
          <w:sz w:val="34"/>
        </w:rPr>
        <w:t>鱼丸琼</w:t>
      </w:r>
    </w:p>
    <w:p>
      <w:pPr>
        <w:jc w:val="left"/>
        <w:rPr>
          <w:rFonts w:hint="eastAsia" w:eastAsia="宋体"/>
          <w:sz w:val="30"/>
          <w:lang w:eastAsia="zh-CN"/>
        </w:rPr>
      </w:pPr>
      <w:r>
        <w:rPr>
          <w:sz w:val="30"/>
        </w:rPr>
        <w:t>「综合」</w:t>
      </w: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3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  <w:r>
        <w:rPr>
          <w:sz w:val="40"/>
        </w:rPr>
        <w:t>店铺</w:t>
      </w:r>
    </w:p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  <w:r>
        <w:rPr>
          <w:sz w:val="40"/>
        </w:rPr>
        <w:t>工具</w:t>
      </w:r>
    </w:p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  <w:r>
        <w:rPr>
          <w:sz w:val="40"/>
        </w:rPr>
        <w:t>收藏</w:t>
      </w:r>
    </w:p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40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2FiZDIzMjBhYjY3YjcwYmIxYWI1NjM4YzVmYjEyMDMifQ=="/>
  </w:docVars>
  <w:rsids>
    <w:rsidRoot w:val="00000000"/>
    <w:rsid w:val="0D447D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2772</Words>
  <Characters>2794</Characters>
  <TotalTime>5</TotalTime>
  <ScaleCrop>false</ScaleCrop>
  <LinksUpToDate>false</LinksUpToDate>
  <CharactersWithSpaces>2912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2022-05-20T03:00:00Z</dcterms:created>
  <dc:creator>Apache POI</dc:creator>
  <cp:lastModifiedBy>小周</cp:lastModifiedBy>
  <dcterms:modified xsi:type="dcterms:W3CDTF">2022-05-20T03:05:42Z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08E3A13FF2B34574A355D73C4889F3E2</vt:lpwstr>
  </property>
</Properties>
</file>